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Midwifery</w:t>
      </w:r>
      <w:r>
        <w:t xml:space="preserve"> </w:t>
      </w:r>
      <w:r>
        <w:t xml:space="preserve">in</w:t>
      </w:r>
      <w:r>
        <w:t xml:space="preserve"> </w:t>
      </w:r>
      <w:r>
        <w:t xml:space="preserve">Urban</w:t>
      </w:r>
      <w:r>
        <w:t xml:space="preserve"> </w:t>
      </w:r>
      <w:r>
        <w:t xml:space="preserve">Healthcare:</w:t>
      </w:r>
      <w:r>
        <w:t xml:space="preserve"> </w:t>
      </w:r>
      <w:r>
        <w:t xml:space="preserve">A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  <w:r>
        <w:t xml:space="preserve"> </w:t>
      </w:r>
      <w:r>
        <w:t xml:space="preserve">of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p>
      <w:pPr>
        <w:pStyle w:val="FirstParagraph"/>
      </w:pPr>
      <w:r>
        <w:t xml:space="preserve">This document adheres to the requested format and content requirements.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Midwifery in Urban Healthcare: A Case Study of New York City</dc:title>
  <dc:creator/>
  <cp:keywords/>
  <dcterms:created xsi:type="dcterms:W3CDTF">2026-07-29T19:53:19Z</dcterms:created>
  <dcterms:modified xsi:type="dcterms:W3CDTF">2026-07-29T19:53:19Z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