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Architecture</w:t>
      </w:r>
      <w:r>
        <w:t xml:space="preserve"> </w:t>
      </w:r>
      <w:r>
        <w:t xml:space="preserve">of</w:t>
      </w:r>
      <w:r>
        <w:t xml:space="preserve"> </w:t>
      </w:r>
      <w:r>
        <w:t xml:space="preserve">the</w:t>
      </w:r>
      <w:r>
        <w:t xml:space="preserve"> </w:t>
      </w:r>
      <w:r>
        <w:t xml:space="preserve">Harbor:</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Australia</w:t>
      </w:r>
      <w:r>
        <w:t xml:space="preserve"> </w:t>
      </w:r>
      <w:r>
        <w:t xml:space="preserve">Sydney</w:t>
      </w:r>
    </w:p>
    <w:bookmarkStart w:id="29" w:name="X11251c512c93d1ffbe3caee60f7c8c44828916d"/>
    <w:p>
      <w:pPr>
        <w:pStyle w:val="Heading1"/>
      </w:pPr>
      <w:r>
        <w:t xml:space="preserve">The Sonic Architecture of the Harbor:</w:t>
      </w:r>
      <w:r>
        <w:br/>
      </w:r>
      <w:r>
        <w:t xml:space="preserve">An Academic Analysis of the Musician in Contemporary Australia Sydney</w:t>
      </w:r>
    </w:p>
    <w:p>
      <w:pPr>
        <w:pStyle w:val="FirstParagraph"/>
      </w:pPr>
      <w:r>
        <w:rPr>
          <w:bCs/>
          <w:b/>
        </w:rPr>
        <w:t xml:space="preserve">Dr. Alistair J. Thorne</w:t>
      </w:r>
      <w:r>
        <w:br/>
      </w:r>
      <w:r>
        <w:t xml:space="preserve">Department of Cultural Studies, University of New South Wales</w:t>
      </w:r>
      <w:r>
        <w:br/>
      </w:r>
      <w:r>
        <w:t xml:space="preserve">Sydney, NSW 2052, Australia</w:t>
      </w:r>
    </w:p>
    <w:bookmarkStart w:id="20" w:name="abstract"/>
    <w:p>
      <w:pPr>
        <w:pStyle w:val="Heading3"/>
      </w:pPr>
      <w:r>
        <w:t xml:space="preserve">Abstract</w:t>
      </w:r>
    </w:p>
    <w:p>
      <w:pPr>
        <w:pStyle w:val="FirstParagraph"/>
      </w:pPr>
      <w:r>
        <w:t xml:space="preserve">This paper explores the multifaceted role and socio-economic impact of the professional Musician within the unique cultural ecosystem of Australia Sydney. By examining historical precedents, contemporary digital disruptions, and government policy frameworks, this study elucidates how local artists navigate the dual pressures of commercial viability and artistic integrity. The analysis suggests that while</w:t>
      </w:r>
      <w:r>
        <w:t xml:space="preserve"> </w:t>
      </w:r>
      <w:r>
        <w:rPr>
          <w:bCs/>
          <w:b/>
        </w:rPr>
        <w:t xml:space="preserve">Australia Sydney</w:t>
      </w:r>
      <w:r>
        <w:t xml:space="preserve"> </w:t>
      </w:r>
      <w:r>
        <w:t xml:space="preserve">remains a premier global hub for live performance, the definition of a working Musician is evolving rapidly due to technological integration and shifting urban demographics. Furthermore, this article argues for a renewed academic focus on the structural support systems required to sustain diverse musical genres beyond the mainstream pop industry.</w:t>
      </w:r>
    </w:p>
    <w:bookmarkEnd w:id="20"/>
    <w:bookmarkStart w:id="21" w:name="introduction"/>
    <w:p>
      <w:pPr>
        <w:pStyle w:val="Heading2"/>
      </w:pPr>
      <w:r>
        <w:t xml:space="preserve">1. Introduction</w:t>
      </w:r>
    </w:p>
    <w:p>
      <w:pPr>
        <w:pStyle w:val="FirstParagraph"/>
      </w:pPr>
      <w:r>
        <w:t xml:space="preserve">The city of Sydney, characterized by its iconic harbor bridges and expansive beachfronts, serves not only as a geographic landmark but also as a cultural crucible for artistic expression. Within this vibrant metropolis, the figure of the Musician stands at the intersection of commerce, heritage, and innovation. Historically known for exporting distinct musical talent to international markets such as Los Angeles and London, contemporary Sydney presents a more complex narrative. The modern</w:t>
      </w:r>
      <w:r>
        <w:t xml:space="preserve"> </w:t>
      </w:r>
      <w:r>
        <w:rPr>
          <w:bCs/>
          <w:b/>
        </w:rPr>
        <w:t xml:space="preserve">Australia Sydney</w:t>
      </w:r>
      <w:r>
        <w:t xml:space="preserve"> </w:t>
      </w:r>
      <w:r>
        <w:t xml:space="preserve">scene is no longer defined solely by export success but by an internal ecosystem that sustains diverse genres ranging from Indigenous folk traditions to experimental electronic music.</w:t>
      </w:r>
    </w:p>
    <w:p>
      <w:pPr>
        <w:pStyle w:val="BodyText"/>
      </w:pPr>
      <w:r>
        <w:t xml:space="preserve">This article aims to dissect the current state of the profession. We examine how policy decisions made at both the state and federal levels in Australia influence the livelihoods of local musicians. Moreover, we analyze how urban gentrification in neighborhoods like Newtown, Surry Hills, and Paddington has altered venue availability, thereby reshaping career trajectories for emerging artists.</w:t>
      </w:r>
    </w:p>
    <w:bookmarkEnd w:id="21"/>
    <w:bookmarkStart w:id="22" w:name="Xa214155e9f6829eea4e647e17481d397cc15b3d"/>
    <w:p>
      <w:pPr>
        <w:pStyle w:val="Heading2"/>
      </w:pPr>
      <w:r>
        <w:t xml:space="preserve">2. Historical Context: From Folk Roots to Global Export</w:t>
      </w:r>
    </w:p>
    <w:p>
      <w:pPr>
        <w:pStyle w:val="FirstParagraph"/>
      </w:pPr>
      <w:r>
        <w:t xml:space="preserve">To understand the present status of the Musician in Sydney, one must look to the mid-20th century. The folk revival of the 1960s and 70s laid the groundwork for a distinctly Australian sound that emphasized storytelling and acoustic instrumentation. This era saw Sydney become a hub for singer-songwriters who would later dominate global charts. However, this "export model" often created a brain drain, where artistic success necessitated relocation away from</w:t>
      </w:r>
      <w:r>
        <w:t xml:space="preserve"> </w:t>
      </w:r>
      <w:r>
        <w:rPr>
          <w:bCs/>
          <w:b/>
        </w:rPr>
        <w:t xml:space="preserve">Australia Sydney</w:t>
      </w:r>
      <w:r>
        <w:t xml:space="preserve"> </w:t>
      </w:r>
      <w:r>
        <w:t xml:space="preserve">to maintain momentum in larger international markets.</w:t>
      </w:r>
    </w:p>
    <w:p>
      <w:pPr>
        <w:pStyle w:val="BodyText"/>
      </w:pPr>
      <w:r>
        <w:t xml:space="preserve">In recent decades, there has been a concerted effort to reverse this trend. The establishment of the Live Music Action Committee and various grants administered by Creative Australia (formerly Arts Council Australia) have aimed to keep talent local. Yet, the legacy of this export-oriented mindset persists in the pedagogical approaches of institutions like Sydney Conservatorium of Music, where students are often trained with an eye toward international competition.</w:t>
      </w:r>
    </w:p>
    <w:bookmarkEnd w:id="22"/>
    <w:bookmarkStart w:id="23" w:name="X5ba824203d10d6a8e4054749fff95eabb0e6aaa"/>
    <w:p>
      <w:pPr>
        <w:pStyle w:val="Heading2"/>
      </w:pPr>
      <w:r>
        <w:t xml:space="preserve">3. The Digital Disruption and Streaming Economics</w:t>
      </w:r>
    </w:p>
    <w:p>
      <w:pPr>
        <w:pStyle w:val="FirstParagraph"/>
      </w:pPr>
      <w:r>
        <w:t xml:space="preserve">A significant portion of contemporary discourse regarding the working Musician revolves around digital platforms. For artists based in</w:t>
      </w:r>
      <w:r>
        <w:t xml:space="preserve"> </w:t>
      </w:r>
      <w:r>
        <w:rPr>
          <w:bCs/>
          <w:b/>
        </w:rPr>
        <w:t xml:space="preserve">Australia Sydney</w:t>
      </w:r>
      <w:r>
        <w:t xml:space="preserve">, the rise of streaming services such as Spotify, Apple Music, and Tidal has fundamentally altered revenue streams. While these platforms provide global reach, the micro-payment structure often fails to support independent artists who lack major label backing.</w:t>
      </w:r>
    </w:p>
    <w:p>
      <w:pPr>
        <w:pStyle w:val="BodyText"/>
      </w:pPr>
      <w:r>
        <w:t xml:space="preserve">Research indicates that musicians in Australia are increasingly adopting a "portfolio career" model. Rather than relying solely on recorded music sales or royalties, the modern Musician is expected to be a content creator, social media manager, and live performer simultaneously. This shift has been particularly acute in Sydney’s competitive nightlife scene, where the cost of production has risen while ticket prices remain stagnant due to inflationary pressures.</w:t>
      </w:r>
    </w:p>
    <w:bookmarkEnd w:id="23"/>
    <w:bookmarkStart w:id="24" w:name="urban-landscape-and-venue-accessibility"/>
    <w:p>
      <w:pPr>
        <w:pStyle w:val="Heading2"/>
      </w:pPr>
      <w:r>
        <w:t xml:space="preserve">4. Urban Landscape and Venue Accessibility</w:t>
      </w:r>
    </w:p>
    <w:p>
      <w:pPr>
        <w:pStyle w:val="FirstParagraph"/>
      </w:pPr>
      <w:r>
        <w:t xml:space="preserve">The physical geography of Sydney plays a crucial role in the career development of its musicians. The closure or redevelopment of historic venues due to high property values poses a significant threat to the city’s musical heritage. In many cases, residential developments encroach upon entertainment precincts, leading to noise complaints and stricter regulatory enforcement by local councils.</w:t>
      </w:r>
    </w:p>
    <w:p>
      <w:pPr>
        <w:pStyle w:val="BodyText"/>
      </w:pPr>
      <w:r>
        <w:t xml:space="preserve">This phenomenon is evident in areas such as Redfern and Chippendale. While gentrification brings economic investment, it often displaces the very cultural institutions that make these neighborhoods attractive. For the independent Musician, the loss of affordable rehearsal spaces and small-to-medium capacity venues restricts opportunities for grassroots growth. Consequently, many emerging artists find themselves competing for limited slots in larger theaters or resorting to online-only performances, which further exacerbates the economic challenges discussed in Section 3.</w:t>
      </w:r>
    </w:p>
    <w:bookmarkEnd w:id="24"/>
    <w:bookmarkStart w:id="25" w:name="X067fb8521d875349893bebc5a40ffc97c7e625f"/>
    <w:p>
      <w:pPr>
        <w:pStyle w:val="Heading2"/>
      </w:pPr>
      <w:r>
        <w:t xml:space="preserve">5. Indigenous Music and Cultural Sovereignty</w:t>
      </w:r>
    </w:p>
    <w:p>
      <w:pPr>
        <w:pStyle w:val="FirstParagraph"/>
      </w:pPr>
      <w:r>
        <w:t xml:space="preserve">No academic analysis of music in Australia is complete without acknowledging the pivotal role of Indigenous artists. In recent years, there has been a remarkable resurgence and recognition of Aboriginal and Torres Strait Islander musicians within the broader Sydney scene. Artists such as Baker Boy, Thelma Plum, and Gurrumul’s legacy have paved the way for greater visibility.</w:t>
      </w:r>
    </w:p>
    <w:p>
      <w:pPr>
        <w:pStyle w:val="BodyText"/>
      </w:pPr>
      <w:r>
        <w:t xml:space="preserve">The integration of traditional instruments and languages into contemporary genres challenges Western-centric definitions of what it means to be a Musician. For Indigenous artists in Australia Sydney, music serves not only as a career but as a vehicle for cultural preservation and political advocacy. Academic institutions and funding bodies are increasingly recognizing this dual function, leading to specialized grants aimed at supporting First Nations creators. However, systemic barriers regarding intellectual property rights and equitable revenue sharing remain pressing issues that require continued scholarly attention.</w:t>
      </w:r>
    </w:p>
    <w:bookmarkEnd w:id="25"/>
    <w:bookmarkStart w:id="26" w:name="policy-recommendations"/>
    <w:p>
      <w:pPr>
        <w:pStyle w:val="Heading2"/>
      </w:pPr>
      <w:r>
        <w:t xml:space="preserve">6. Policy Recommendations</w:t>
      </w:r>
    </w:p>
    <w:p>
      <w:pPr>
        <w:pStyle w:val="FirstParagraph"/>
      </w:pPr>
      <w:r>
        <w:t xml:space="preserve">In light of the challenges identified above, several recommendations are proposed for policymakers and cultural stakeholders in</w:t>
      </w:r>
      <w:r>
        <w:t xml:space="preserve"> </w:t>
      </w:r>
      <w:r>
        <w:rPr>
          <w:bCs/>
          <w:b/>
        </w:rPr>
        <w:t xml:space="preserve">Australia Sydney</w:t>
      </w:r>
      <w:r>
        <w:t xml:space="preserve">:</w:t>
      </w:r>
    </w:p>
    <w:p>
      <w:pPr>
        <w:numPr>
          <w:ilvl w:val="0"/>
          <w:numId w:val="1001"/>
        </w:numPr>
        <w:pStyle w:val="Compact"/>
      </w:pPr>
      <w:r>
        <w:rPr>
          <w:bCs/>
          <w:b/>
        </w:rPr>
        <w:t xml:space="preserve">Venue Protection:</w:t>
      </w:r>
      <w:r>
        <w:t xml:space="preserve"> </w:t>
      </w:r>
      <w:r>
        <w:t xml:space="preserve">Implement strict zoning laws that protect existing live music venues from residential encroachment and ensure they are classified as heritage assets where appropriate.</w:t>
      </w:r>
    </w:p>
    <w:p>
      <w:pPr>
        <w:numPr>
          <w:ilvl w:val="0"/>
          <w:numId w:val="1001"/>
        </w:numPr>
        <w:pStyle w:val="Compact"/>
      </w:pPr>
      <w:r>
        <w:rPr>
          <w:bCs/>
          <w:b/>
        </w:rPr>
        <w:t xml:space="preserve">Funding Reform:</w:t>
      </w:r>
      <w:r>
        <w:t xml:space="preserve"> </w:t>
      </w:r>
      <w:r>
        <w:t xml:space="preserve">Diversify funding mechanisms to include micro-grants for independent artists, reducing bureaucratic hurdles associated with traditional arts funding.</w:t>
      </w:r>
    </w:p>
    <w:p>
      <w:pPr>
        <w:numPr>
          <w:ilvl w:val="0"/>
          <w:numId w:val="1001"/>
        </w:numPr>
        <w:pStyle w:val="Compact"/>
      </w:pPr>
      <w:r>
        <w:rPr>
          <w:bCs/>
          <w:b/>
        </w:rPr>
        <w:t xml:space="preserve">Digital Literacy Programs:</w:t>
      </w:r>
      <w:r>
        <w:t xml:space="preserve"> </w:t>
      </w:r>
      <w:r>
        <w:t xml:space="preserve">Expand educational resources through Sydney’s universities and TAFEs to equip Musicians with skills in digital marketing, copyright law, and financial management.</w:t>
      </w:r>
    </w:p>
    <w:p>
      <w:pPr>
        <w:numPr>
          <w:ilvl w:val="0"/>
          <w:numId w:val="1001"/>
        </w:numPr>
        <w:pStyle w:val="Compact"/>
      </w:pPr>
      <w:r>
        <w:rPr>
          <w:bCs/>
          <w:b/>
        </w:rPr>
        <w:t xml:space="preserve">Cultural Equity:</w:t>
      </w:r>
      <w:r>
        <w:t xml:space="preserve"> </w:t>
      </w:r>
      <w:r>
        <w:t xml:space="preserve">Increase targeted support for Indigenous musicians to ensure that cultural sovereignty is respected in all commercial partnerships.</w:t>
      </w:r>
    </w:p>
    <w:bookmarkEnd w:id="26"/>
    <w:bookmarkStart w:id="27" w:name="conclusion"/>
    <w:p>
      <w:pPr>
        <w:pStyle w:val="Heading2"/>
      </w:pPr>
      <w:r>
        <w:t xml:space="preserve">7. Conclusion</w:t>
      </w:r>
    </w:p>
    <w:p>
      <w:pPr>
        <w:pStyle w:val="FirstParagraph"/>
      </w:pPr>
      <w:r>
        <w:t xml:space="preserve">The role of the Musician in contemporary Australia Sydney is one of resilience and adaptation. Despite facing significant economic and structural challenges, artists continue to contribute profoundly to the city’s cultural identity. The interplay between historical legacy, digital innovation, and urban development creates a complex landscape that demands nuanced academic inquiry.</w:t>
      </w:r>
    </w:p>
    <w:p>
      <w:pPr>
        <w:pStyle w:val="BodyText"/>
      </w:pPr>
      <w:r>
        <w:t xml:space="preserve">As we move forward, it is essential that the discourse surrounding music production in Sydney expands beyond mere economic metrics. It must encompass questions of cultural sustainability, equity, and community engagement. By addressing these issues through informed policy and robust academic research, stakeholders can ensure that the vibrant soundscape of Australia Sydney remains inclusive and sustainable for future generations of Musicians.</w:t>
      </w:r>
    </w:p>
    <w:bookmarkEnd w:id="27"/>
    <w:bookmarkStart w:id="28" w:name="references-selected"/>
    <w:p>
      <w:pPr>
        <w:pStyle w:val="Heading2"/>
      </w:pPr>
      <w:r>
        <w:t xml:space="preserve">8. References (Selected)</w:t>
      </w:r>
    </w:p>
    <w:p>
      <w:pPr>
        <w:pStyle w:val="FirstParagraph"/>
      </w:pPr>
      <w:r>
        <w:rPr>
          <w:iCs/>
          <w:i/>
        </w:rPr>
        <w:t xml:space="preserve">Note: The following references are illustrative of the academic style required.</w:t>
      </w:r>
    </w:p>
    <w:p>
      <w:pPr>
        <w:numPr>
          <w:ilvl w:val="0"/>
          <w:numId w:val="1002"/>
        </w:numPr>
        <w:pStyle w:val="Compact"/>
      </w:pPr>
      <w:r>
        <w:t xml:space="preserve">Creative Australia. (2023). *Live Music Industry Report*. Canberra: Australian Government.</w:t>
      </w:r>
    </w:p>
    <w:p>
      <w:pPr>
        <w:numPr>
          <w:ilvl w:val="0"/>
          <w:numId w:val="1002"/>
        </w:numPr>
        <w:pStyle w:val="Compact"/>
      </w:pPr>
      <w:r>
        <w:t xml:space="preserve">Dawson, R., &amp; McIlroy, J. (2021). "Urban Gentrification and the Death of the Venue." *Journal of Australian Urbanism*, 14(3), 45-62.</w:t>
      </w:r>
    </w:p>
    <w:p>
      <w:pPr>
        <w:numPr>
          <w:ilvl w:val="0"/>
          <w:numId w:val="1002"/>
        </w:numPr>
        <w:pStyle w:val="Compact"/>
      </w:pPr>
      <w:r>
        <w:t xml:space="preserve">Morgan, M. (2019). "Indigenous Music Rights in the Digital Age." *Australian Aboriginal Studies*, 2, 112-125.</w:t>
      </w:r>
    </w:p>
    <w:p>
      <w:pPr>
        <w:numPr>
          <w:ilvl w:val="0"/>
          <w:numId w:val="1002"/>
        </w:numPr>
        <w:pStyle w:val="Compact"/>
      </w:pPr>
      <w:r>
        <w:t xml:space="preserve">Sydney Local Government Area. (2024). *Creative Industries Strategy 5-Year Plan*. Sydney: City Council.</w:t>
      </w:r>
    </w:p>
    <w:p>
      <w:pPr>
        <w:numPr>
          <w:ilvl w:val="0"/>
          <w:numId w:val="1002"/>
        </w:numPr>
        <w:pStyle w:val="Compact"/>
      </w:pPr>
      <w:r>
        <w:t xml:space="preserve">Taylor, T. D. (2007). "Music and Technology in the Postrecorded Music Industry." In *The Cambridge Companion to Pop and Rock*, 115-132.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Architecture of the Harbor: An Academic Analysis of the Musician in Contemporary Australia Sydney</dc:title>
  <dc:creator/>
  <dc:language>en</dc:language>
  <cp:keywords/>
  <dcterms:created xsi:type="dcterms:W3CDTF">2026-07-29T16:39:04Z</dcterms:created>
  <dcterms:modified xsi:type="dcterms:W3CDTF">2026-07-29T16:39:04Z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