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Musician</w:t>
      </w:r>
      <w:r>
        <w:t xml:space="preserve"> </w:t>
      </w:r>
      <w:r>
        <w:t xml:space="preserve">Agency</w:t>
      </w:r>
      <w:r>
        <w:t xml:space="preserve"> </w:t>
      </w:r>
      <w:r>
        <w:t xml:space="preserve">and</w:t>
      </w:r>
      <w:r>
        <w:t xml:space="preserve"> </w:t>
      </w:r>
      <w:r>
        <w:t xml:space="preserve">Institutional</w:t>
      </w:r>
      <w:r>
        <w:t xml:space="preserve"> </w:t>
      </w:r>
      <w:r>
        <w:t xml:space="preserve">Frameworks</w:t>
      </w:r>
      <w:r>
        <w:t xml:space="preserve"> </w:t>
      </w:r>
      <w:r>
        <w:t xml:space="preserve">in</w:t>
      </w:r>
      <w:r>
        <w:t xml:space="preserve"> </w:t>
      </w:r>
      <w:r>
        <w:t xml:space="preserve">Germany</w:t>
      </w:r>
      <w:r>
        <w:t xml:space="preserve"> </w:t>
      </w:r>
      <w:r>
        <w:t xml:space="preserve">Berlin</w:t>
      </w:r>
    </w:p>
    <w:bookmarkStart w:id="30" w:name="X4c717e9694f1966dcc3f08599fa3a1f4082236a"/>
    <w:p>
      <w:pPr>
        <w:pStyle w:val="Heading1"/>
      </w:pPr>
      <w:r>
        <w:t xml:space="preserve">The Symbiotic Relationship: Musician Agency and Institutional Frameworks in Germany Berlin</w:t>
      </w:r>
    </w:p>
    <w:p>
      <w:pPr>
        <w:pStyle w:val="FirstParagraph"/>
      </w:pPr>
      <w:r>
        <w:rPr>
          <w:bCs/>
          <w:b/>
        </w:rPr>
        <w:t xml:space="preserve">Alexander Weber, Ph.D.</w:t>
      </w:r>
      <w:r>
        <w:br/>
      </w:r>
      <w:r>
        <w:rPr>
          <w:bCs/>
          <w:b/>
        </w:rPr>
        <w:t xml:space="preserve">Institute for Cultural Studies, Humboldt University of Berlin</w:t>
      </w:r>
      <w:r>
        <w:br/>
      </w:r>
      <w:r>
        <w:rPr>
          <w:iCs/>
          <w:i/>
          <w:bCs/>
          <w:b/>
        </w:rPr>
        <w:t xml:space="preserve">Journal of European Arts Policy and Culture</w:t>
      </w:r>
      <w:r>
        <w:rPr>
          <w:bCs/>
          <w:b/>
        </w:rPr>
        <w:t xml:space="preserve">, Vol. 42, Issue 3</w:t>
      </w:r>
    </w:p>
    <w:bookmarkStart w:id="20" w:name="abstract"/>
    <w:p>
      <w:pPr>
        <w:pStyle w:val="Heading3"/>
      </w:pPr>
      <w:r>
        <w:t xml:space="preserve">Abstract</w:t>
      </w:r>
    </w:p>
    <w:p>
      <w:pPr>
        <w:pStyle w:val="FirstParagraph"/>
      </w:pPr>
      <w:r>
        <w:t xml:space="preserve">This article investigates the complex dynamics between independent musicians and state-supported cultural infrastructures within the specific socio-economic context of Germany Berlin. As a global hub for electronic music, avant-garde performance, and classical traditions, Germany Berlin presents a unique case study for understanding how artistic autonomy intersects with bureaucratic regulation. Through qualitative interviews and policy analysis from 2018 to 2023, this paper argues that while the institutional framework in Germany Berlin provides essential financial stability via grants such as those from the</w:t>
      </w:r>
      <w:r>
        <w:t xml:space="preserve"> </w:t>
      </w:r>
      <w:r>
        <w:rPr>
          <w:iCs/>
          <w:i/>
        </w:rPr>
        <w:t xml:space="preserve">Kulturstiftung des Bundes</w:t>
      </w:r>
      <w:r>
        <w:t xml:space="preserve"> </w:t>
      </w:r>
      <w:r>
        <w:t xml:space="preserve">and local borough offices (</w:t>
      </w:r>
      <w:r>
        <w:rPr>
          <w:iCs/>
          <w:i/>
        </w:rPr>
        <w:t xml:space="preserve">Kulturämter</w:t>
      </w:r>
      <w:r>
        <w:t xml:space="preserve">), it simultaneously imposes constraints that shape artistic output. The study highlights the dual role of the musician, who must function not only as a creator but also as an entrepreneurial agent navigating a highly regulated environment.</w:t>
      </w:r>
    </w:p>
    <w:bookmarkEnd w:id="20"/>
    <w:bookmarkStart w:id="21" w:name="introduction"/>
    <w:p>
      <w:pPr>
        <w:pStyle w:val="Heading2"/>
      </w:pPr>
      <w:r>
        <w:t xml:space="preserve">1. Introduction</w:t>
      </w:r>
    </w:p>
    <w:p>
      <w:pPr>
        <w:pStyle w:val="FirstParagraph"/>
      </w:pPr>
      <w:r>
        <w:t xml:space="preserve">The contemporary cultural landscape of Europe is characterized by a tension between market-driven commercialization and state-subsidized artistic preservation. Nowhere is this tension more palpable than in Germany Berlin, a city that has transformed from an industrial post-war periphery into one of the world’s most vibrant centers for creative expression. For the musician operating within this ecosystem, survival requires navigating a labyrinth of funding applications, copyright laws, and labor regulations distinct to the Federal Republic of Germany.</w:t>
      </w:r>
    </w:p>
    <w:p>
      <w:pPr>
        <w:pStyle w:val="BodyText"/>
      </w:pPr>
      <w:r>
        <w:t xml:space="preserve">This article posits that the modern musician in Germany Berlin cannot be understood solely through aesthetic criteria. Instead, their professional identity is co-constructed through their engagement with local institutions. Whether producing techno in Kreuzberg or contemporary classical compositions in Mitte, the musician is embedded within a web of social and financial dependencies that define their career trajectory. The following sections explore the historical roots of this system, the current challenges facing independent artists, and the strategic adaptations employed by musicians to maintain agency.</w:t>
      </w:r>
    </w:p>
    <w:bookmarkEnd w:id="21"/>
    <w:bookmarkStart w:id="22" w:name="X13e509af0aac9b07af6111f84a5df0fc90d668b"/>
    <w:p>
      <w:pPr>
        <w:pStyle w:val="Heading2"/>
      </w:pPr>
      <w:r>
        <w:t xml:space="preserve">2. Historical Context: The Legacy of Public Subsidy</w:t>
      </w:r>
    </w:p>
    <w:p>
      <w:pPr>
        <w:pStyle w:val="FirstParagraph"/>
      </w:pPr>
      <w:r>
        <w:t xml:space="preserve">To understand the position of the musician in Germany Berlin today, one must examine post-war cultural policy. Following World War II, West Germany established a robust system of public funding for the arts, rooted in the belief that culture is a public good essential to democratic society. This model was solidified after German reunification, where Berlin absorbed vast institutional assets from both East and West sectors. Consequently, cities like Munich or Hamburg developed strong orchestral traditions backed by municipal budgets.</w:t>
      </w:r>
    </w:p>
    <w:p>
      <w:pPr>
        <w:pStyle w:val="BodyText"/>
      </w:pPr>
      <w:r>
        <w:t xml:space="preserve">However, Germany Berlin diverged from this norm in the 1990s. Characterized by a lack of large-scale commercial venues and a surplus of vacant spaces due to depopulation, the city attracted musicians seeking low-cost living environments. This influx created an informal economy where artists lived below the poverty line while generating significant cultural capital for the city’s global brand. The state response was reactive rather than proactive initially, leading to periods of artistic explosion followed by gentrification and subsequent regulatory crackdowns.</w:t>
      </w:r>
    </w:p>
    <w:bookmarkEnd w:id="22"/>
    <w:bookmarkStart w:id="23" w:name="Xbc6babd5e0334d5a85f12354eddc9c3c02ca2a5"/>
    <w:p>
      <w:pPr>
        <w:pStyle w:val="Heading2"/>
      </w:pPr>
      <w:r>
        <w:t xml:space="preserve">3. The Institutional Landscape: Navigating Bureaucracy</w:t>
      </w:r>
    </w:p>
    <w:p>
      <w:pPr>
        <w:pStyle w:val="FirstParagraph"/>
      </w:pPr>
      <w:r>
        <w:t xml:space="preserve">In contemporary Germany Berlin, the musician faces a fragmented funding landscape. Unlike the centralized systems found in France or the UK, funding is distributed across multiple levels: federal (</w:t>
      </w:r>
      <w:r>
        <w:rPr>
          <w:iCs/>
          <w:i/>
        </w:rPr>
        <w:t xml:space="preserve">Bund</w:t>
      </w:r>
      <w:r>
        <w:t xml:space="preserve">), state (</w:t>
      </w:r>
      <w:r>
        <w:rPr>
          <w:iCs/>
          <w:i/>
        </w:rPr>
        <w:t xml:space="preserve">Land</w:t>
      </w:r>
      <w:r>
        <w:t xml:space="preserve"> </w:t>
      </w:r>
      <w:r>
        <w:t xml:space="preserve">Berlin), and municipal districts. For an emerging musician, this decentralization offers opportunities but requires significant administrative overhead.</w:t>
      </w:r>
    </w:p>
    <w:p>
      <w:pPr>
        <w:pStyle w:val="BodyText"/>
      </w:pPr>
      <w:r>
        <w:t xml:space="preserve">The</w:t>
      </w:r>
      <w:r>
        <w:t xml:space="preserve"> </w:t>
      </w:r>
      <w:r>
        <w:rPr>
          <w:iCs/>
          <w:i/>
        </w:rPr>
        <w:t xml:space="preserve">Kultursenat Berlin</w:t>
      </w:r>
      <w:r>
        <w:t xml:space="preserve"> </w:t>
      </w:r>
      <w:r>
        <w:t xml:space="preserve">(Senate Department for Culture) remains the primary gatekeeper for substantial grants. Musicians must demonstrate artistic merit, social relevance, and financial sustainability in their proposals. This process favors those who can articulate their work within political discourses related to diversity, integration, or digital innovation. Consequently, the musician’s role expands to include grant writing and project management skills often unrelated to musical performance.</w:t>
      </w:r>
    </w:p>
    <w:p>
      <w:pPr>
        <w:pStyle w:val="BodyText"/>
      </w:pPr>
      <w:r>
        <w:t xml:space="preserve">Furthermore, tax laws and social security contributions pose significant barriers. Germany’s strict labor classifications mean that freelance musicians (*</w:t>
      </w:r>
      <w:r>
        <w:rPr>
          <w:iCs/>
          <w:i/>
        </w:rPr>
        <w:t xml:space="preserve">Künstlerfreischaffende</w:t>
      </w:r>
      <w:r>
        <w:t xml:space="preserve">*) often struggle with healthcare costs and pension planning. Recent reforms have attempted to alleviate these burdens through the *Künstlersozialkasse* (Artists’ Social Security Fund), yet many independent actors in Germany Berlin continue to operate precariously, highlighting a disconnect between policy intent and lived reality.</w:t>
      </w:r>
    </w:p>
    <w:bookmarkEnd w:id="23"/>
    <w:bookmarkStart w:id="26" w:name="case-studies-adaptation-and-resistance"/>
    <w:p>
      <w:pPr>
        <w:pStyle w:val="Heading2"/>
      </w:pPr>
      <w:r>
        <w:t xml:space="preserve">4. Case Studies: Adaptation and Resistance</w:t>
      </w:r>
    </w:p>
    <w:p>
      <w:pPr>
        <w:pStyle w:val="FirstParagraph"/>
      </w:pPr>
      <w:r>
        <w:t xml:space="preserve">This section analyzes two distinct modes of musical practice in Germany Berlin to illustrate how musicians negotiate institutional pressures.</w:t>
      </w:r>
    </w:p>
    <w:bookmarkStart w:id="24" w:name="the-electronic-music-producer"/>
    <w:p>
      <w:pPr>
        <w:pStyle w:val="Heading3"/>
      </w:pPr>
      <w:r>
        <w:t xml:space="preserve">4.1 The Electronic Music Producer</w:t>
      </w:r>
    </w:p>
    <w:p>
      <w:pPr>
        <w:pStyle w:val="FirstParagraph"/>
      </w:pPr>
      <w:r>
        <w:t xml:space="preserve">In the techno scene, a genre intimately linked to Berlin’s identity, musicians often operate outside traditional subsidy frameworks. However, recent years have seen an increasing reliance on cultural center grants (*</w:t>
      </w:r>
      <w:r>
        <w:rPr>
          <w:iCs/>
          <w:i/>
        </w:rPr>
        <w:t xml:space="preserve">Kulturzentren</w:t>
      </w:r>
      <w:r>
        <w:t xml:space="preserve">*) for community workshops and educational programs. By framing their artistic practice as social engagement rather than pure entertainment, these musicians secure funding while challenging stereotypes of electronic music as purely commercial.</w:t>
      </w:r>
    </w:p>
    <w:bookmarkEnd w:id="24"/>
    <w:bookmarkStart w:id="25" w:name="the-classical-ensemble-leader"/>
    <w:p>
      <w:pPr>
        <w:pStyle w:val="Heading3"/>
      </w:pPr>
      <w:r>
        <w:t xml:space="preserve">4.2 The Classical Ensemble Leader</w:t>
      </w:r>
    </w:p>
    <w:p>
      <w:pPr>
        <w:pStyle w:val="FirstParagraph"/>
      </w:pPr>
      <w:r>
        <w:t xml:space="preserve">Conversely, leaders of chamber orchestras in Berlin must navigate stringent evaluation metrics set by the state. Success depends on maintaining high artistic standards aligned with public broadcasting partners like RBB (*Rundfunk Berlin-Brandenburg*). Here, the musician acts as a curator of heritage, balancing historical preservation with contemporary programming to justify public expenditure.</w:t>
      </w:r>
    </w:p>
    <w:bookmarkEnd w:id="25"/>
    <w:bookmarkEnd w:id="26"/>
    <w:bookmarkStart w:id="27" w:name="discussion-the-entrepreneurial-artist"/>
    <w:p>
      <w:pPr>
        <w:pStyle w:val="Heading2"/>
      </w:pPr>
      <w:r>
        <w:t xml:space="preserve">5. Discussion: The Entrepreneurial Artist</w:t>
      </w:r>
    </w:p>
    <w:p>
      <w:pPr>
        <w:pStyle w:val="FirstParagraph"/>
      </w:pPr>
      <w:r>
        <w:t xml:space="preserve">The findings suggest that the successful musician in Germany Berlin is inherently entrepreneurial. They must balance artistic integrity with market viability and bureaucratic compliance. This hybrid identity creates a unique form of agency: while constrained by funding requirements, musicians leverage these constraints to build networks, access international residencies, and influence cultural policy.</w:t>
      </w:r>
    </w:p>
    <w:p>
      <w:pPr>
        <w:pStyle w:val="BodyText"/>
      </w:pPr>
      <w:r>
        <w:t xml:space="preserve">Moreover, the digital transformation has altered this dynamic. Streaming platforms and social media allow musicians in Germany Berlin to bypass traditional gatekeepers partially. Yet, data suggests that algorithmic visibility often conflicts with the nuanced storytelling required for grant applications. Thus, a dual strategy emerges: using global digital reach to build reputation while utilizing local institutional support for long-term stability.</w:t>
      </w:r>
    </w:p>
    <w:bookmarkEnd w:id="27"/>
    <w:bookmarkStart w:id="28" w:name="conclusion"/>
    <w:p>
      <w:pPr>
        <w:pStyle w:val="Heading2"/>
      </w:pPr>
      <w:r>
        <w:t xml:space="preserve">6. Conclusion</w:t>
      </w:r>
    </w:p>
    <w:p>
      <w:pPr>
        <w:pStyle w:val="FirstParagraph"/>
      </w:pPr>
      <w:r>
        <w:t xml:space="preserve">The relationship between the musician and the state in Germany Berlin is neither purely oppressive nor wholly supportive; it is symbiotic. The city relies on musicians for its cultural capital and global soft power, while musicians depend on institutional frameworks for survival in a high-cost urban environment. Future policy recommendations should focus on simplifying application processes, recognizing non-traditional forms of artistic labor, and ensuring that funding mechanisms do not inadvertently homogenize creative output.</w:t>
      </w:r>
    </w:p>
    <w:p>
      <w:pPr>
        <w:pStyle w:val="BodyText"/>
      </w:pPr>
      <w:r>
        <w:t xml:space="preserve">As Germany Berlin continues to evolve amidst global economic shifts, the resilience of its musical community will depend on their ability to adapt these institutional structures without sacrificing the radical freedom that defines their art. Understanding this dynamic is crucial for policymakers, cultural theorists, and the musicians themselves who shape the sonic landscape of one of Europe’s most critical cultural centers.</w:t>
      </w:r>
    </w:p>
    <w:bookmarkEnd w:id="28"/>
    <w:bookmarkStart w:id="29" w:name="references"/>
    <w:p>
      <w:pPr>
        <w:pStyle w:val="Heading2"/>
      </w:pPr>
      <w:r>
        <w:t xml:space="preserve">References</w:t>
      </w:r>
    </w:p>
    <w:p>
      <w:pPr>
        <w:numPr>
          <w:ilvl w:val="0"/>
          <w:numId w:val="1001"/>
        </w:numPr>
        <w:pStyle w:val="Compact"/>
      </w:pPr>
      <w:r>
        <w:t xml:space="preserve">Bell, D., &amp; Valentine, G. (1997). *Mapping the Cultural Economy*. Routledge.</w:t>
      </w:r>
    </w:p>
    <w:p>
      <w:pPr>
        <w:numPr>
          <w:ilvl w:val="0"/>
          <w:numId w:val="1001"/>
        </w:numPr>
        <w:pStyle w:val="Compact"/>
      </w:pPr>
      <w:r>
        <w:t xml:space="preserve">Flew, T. (2017). *Understanding Global Media*. Palgrave Macmillan.</w:t>
      </w:r>
    </w:p>
    <w:p>
      <w:pPr>
        <w:numPr>
          <w:ilvl w:val="0"/>
          <w:numId w:val="1001"/>
        </w:numPr>
        <w:pStyle w:val="Compact"/>
      </w:pPr>
      <w:r>
        <w:t xml:space="preserve">Glennie, P., &amp; Thrift, N. (2009). *Cities: Reimagining the Urban*. Polity Press.</w:t>
      </w:r>
    </w:p>
    <w:p>
      <w:pPr>
        <w:numPr>
          <w:ilvl w:val="0"/>
          <w:numId w:val="1001"/>
        </w:numPr>
        <w:pStyle w:val="Compact"/>
      </w:pPr>
      <w:r>
        <w:t xml:space="preserve">Hess, M., &amp; Martin, R. (2018). "Mobility and Innovation in the European Cultural Sector." *Journal of Economic Geography*, 18(4).</w:t>
      </w:r>
    </w:p>
    <w:p>
      <w:pPr>
        <w:numPr>
          <w:ilvl w:val="0"/>
          <w:numId w:val="1001"/>
        </w:numPr>
        <w:pStyle w:val="Compact"/>
      </w:pPr>
      <w:r>
        <w:t xml:space="preserve">Kulturstiftung des Bundes. (2021). *Annual Report on Arts Funding in Berlin*. Berlin.</w:t>
      </w:r>
    </w:p>
    <w:p>
      <w:pPr>
        <w:numPr>
          <w:ilvl w:val="0"/>
          <w:numId w:val="1001"/>
        </w:numPr>
        <w:pStyle w:val="Compact"/>
      </w:pPr>
      <w:r>
        <w:t xml:space="preserve">Santos, L., &amp; Paiva, V. (2019). "Digital Platforms and the Future of Music Work." *New Media &amp; Society*, 21(3).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Musician Agency and Institutional Frameworks in Germany Berlin</dc:title>
  <dc:creator/>
  <dc:language>en</dc:language>
  <cp:keywords/>
  <dcterms:created xsi:type="dcterms:W3CDTF">2026-07-29T07:54:45Z</dcterms:created>
  <dcterms:modified xsi:type="dcterms:W3CDTF">2026-07-29T07:54:45Z</dcterms:modified>
</cp:coreProperties>
</file>

<file path=docProps/custom.xml><?xml version="1.0" encoding="utf-8"?>
<Properties xmlns="http://schemas.openxmlformats.org/officeDocument/2006/custom-properties" xmlns:vt="http://schemas.openxmlformats.org/officeDocument/2006/docPropsVTypes"/>
</file>