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Resonance</w:t>
      </w:r>
      <w:r>
        <w:t xml:space="preserve"> </w:t>
      </w:r>
      <w:r>
        <w:t xml:space="preserve">of</w:t>
      </w:r>
      <w:r>
        <w:t xml:space="preserve"> </w:t>
      </w:r>
      <w:r>
        <w:t xml:space="preserve">Heritage:</w:t>
      </w:r>
      <w:r>
        <w:t xml:space="preserve"> </w:t>
      </w:r>
      <w:r>
        <w:t xml:space="preserve">The</w:t>
      </w:r>
      <w:r>
        <w:t xml:space="preserve"> </w:t>
      </w:r>
      <w:r>
        <w:t xml:space="preserve">Evolution</w:t>
      </w:r>
      <w:r>
        <w:t xml:space="preserve"> </w:t>
      </w:r>
      <w:r>
        <w:t xml:space="preserve">and</w:t>
      </w:r>
      <w:r>
        <w:t xml:space="preserve"> </w:t>
      </w:r>
      <w:r>
        <w:t xml:space="preserve">Socio-Cultural</w:t>
      </w:r>
      <w:r>
        <w:t xml:space="preserve"> </w:t>
      </w:r>
      <w:r>
        <w:t xml:space="preserve">Significance</w:t>
      </w:r>
      <w:r>
        <w:t xml:space="preserve"> </w:t>
      </w:r>
      <w:r>
        <w:t xml:space="preserve">of</w:t>
      </w:r>
      <w:r>
        <w:t xml:space="preserve"> </w:t>
      </w:r>
      <w:r>
        <w:t xml:space="preserve">Musicians</w:t>
      </w:r>
      <w:r>
        <w:t xml:space="preserve"> </w:t>
      </w:r>
      <w:r>
        <w:t xml:space="preserve">in</w:t>
      </w:r>
      <w:r>
        <w:t xml:space="preserve"> </w:t>
      </w:r>
      <w:r>
        <w:t xml:space="preserve">Contemporary</w:t>
      </w:r>
      <w:r>
        <w:t xml:space="preserve"> </w:t>
      </w:r>
      <w:r>
        <w:t xml:space="preserve">Tashkent,</w:t>
      </w:r>
      <w:r>
        <w:t xml:space="preserve"> </w:t>
      </w:r>
      <w:r>
        <w:t xml:space="preserve">Uzbekistan</w:t>
      </w:r>
    </w:p>
    <w:bookmarkStart w:id="30" w:name="Xf5149be340c79ef6470b8e3d910a75c81a18f02"/>
    <w:p>
      <w:pPr>
        <w:pStyle w:val="Heading1"/>
      </w:pPr>
      <w:r>
        <w:t xml:space="preserve">The Resonance of Heritage: The Evolution and Socio-Cultural Significance of Musicians in Contemporary Tashkent, Uzbekistan</w:t>
      </w:r>
    </w:p>
    <w:p>
      <w:pPr>
        <w:pStyle w:val="FirstParagraph"/>
      </w:pPr>
      <w:r>
        <w:rPr>
          <w:bCs/>
          <w:b/>
        </w:rPr>
        <w:t xml:space="preserve">Author:</w:t>
      </w:r>
      <w:r>
        <w:t xml:space="preserve"> </w:t>
      </w:r>
      <w:r>
        <w:t xml:space="preserve">Research Fellow in Ethnomusicology</w:t>
      </w:r>
      <w:r>
        <w:br/>
      </w:r>
      <w:r>
        <w:rPr>
          <w:bCs/>
          <w:b/>
        </w:rPr>
        <w:t xml:space="preserve">Institution:</w:t>
      </w:r>
      <w:r>
        <w:t xml:space="preserve"> </w:t>
      </w:r>
      <w:r>
        <w:t xml:space="preserve">Institute for Cultural Studies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pivotal role of the musician within the cultural fabric of Tashkent, Uzbekistan. As the capital city undergoes rapid urbanization and globalization, local musicians serve as crucial agents of cultural preservation and innovation. By analyzing historical lineages such as</w:t>
      </w:r>
      <w:r>
        <w:t xml:space="preserve"> </w:t>
      </w:r>
      <w:r>
        <w:rPr>
          <w:iCs/>
          <w:i/>
        </w:rPr>
        <w:t xml:space="preserve">Shashmaqom</w:t>
      </w:r>
      <w:r>
        <w:t xml:space="preserve">, contemporary fusion genres, and digital dissemination methods, this study elucidates how artists in Uzbekistan Tashkent navigate the tension between tradition and modernity. The findings suggest that musicians are not merely entertainers but are central to the construction of national identity in post-Soviet Central Asia.</w:t>
      </w:r>
    </w:p>
    <w:p>
      <w:pPr>
        <w:pStyle w:val="BodyText"/>
      </w:pPr>
      <w:r>
        <w:t xml:space="preserve">Keywords:</w:t>
      </w:r>
      <w:r>
        <w:t xml:space="preserve"> </w:t>
      </w:r>
      <w:r>
        <w:rPr>
          <w:iCs/>
          <w:i/>
        </w:rPr>
        <w:t xml:space="preserve">Musician, Uzbekistan Tashkent, Shashmaqom, Cultural Identity, Ethnomusicology</w:t>
      </w:r>
    </w:p>
    <w:bookmarkEnd w:id="20"/>
    <w:bookmarkStart w:id="21" w:name="i.-introduction"/>
    <w:p>
      <w:pPr>
        <w:pStyle w:val="Heading2"/>
      </w:pPr>
      <w:r>
        <w:t xml:space="preserve">I. Introduction</w:t>
      </w:r>
    </w:p>
    <w:p>
      <w:pPr>
        <w:pStyle w:val="FirstParagraph"/>
      </w:pPr>
      <w:r>
        <w:t xml:space="preserve">The city of Tashkent serves as the beating heart of Uzbekistan’s cultural life. As a historic hub on the Silk Road and a modern metropolis, it hosts a diverse array of artistic expressions. Central to this vibrant ecosystem is the figure of the musician. In many Western contexts, musicians are often viewed primarily through an entertainment or commercial lens; however, in Uzbekistan Tashkent, the musician occupies a position of profound sociological and historical significance. This article argues that the contemporary musician in Tashkent functions as both a guardian of ancestral heritage and a pioneer of globalized soundscapes.</w:t>
      </w:r>
    </w:p>
    <w:p>
      <w:pPr>
        <w:pStyle w:val="BodyText"/>
      </w:pPr>
      <w:r>
        <w:t xml:space="preserve">To understand this duality, one must first recognize that Uzbekistan Tashkent has historically been a crossroads where Persian, Turkic, Russian, and East Asian influences converge. The musician in this region is not an isolated artist but part of a continuous lineage of oral and musical transmission. This paper explores the methodologies employed by these artists to maintain relevance while preserving the integrity of traditional forms.</w:t>
      </w:r>
    </w:p>
    <w:bookmarkEnd w:id="21"/>
    <w:bookmarkStart w:id="22" w:name="X30731591926893e01895508d911f4dc48ffa0cb"/>
    <w:p>
      <w:pPr>
        <w:pStyle w:val="Heading2"/>
      </w:pPr>
      <w:r>
        <w:t xml:space="preserve">II. Historical Context: The Maestro Tradition</w:t>
      </w:r>
    </w:p>
    <w:p>
      <w:pPr>
        <w:pStyle w:val="FirstParagraph"/>
      </w:pPr>
      <w:r>
        <w:t xml:space="preserve">The foundation of modern Uzbek music lies in the classical genre known as</w:t>
      </w:r>
      <w:r>
        <w:t xml:space="preserve"> </w:t>
      </w:r>
      <w:r>
        <w:rPr>
          <w:iCs/>
          <w:i/>
        </w:rPr>
        <w:t xml:space="preserve">Shashmaqom</w:t>
      </w:r>
      <w:r>
        <w:t xml:space="preserve">, which translates to "Six Melodies." Originating in the 18th and 19th centuries, this art form represents a sophisticated synthesis of poetry, music, and dance. For decades, particularly during the Soviet era, these traditions were marginalized or heavily regulated. However since independence from Uzbekistan Tashkent has seen a resurgence of interest in these roots.</w:t>
      </w:r>
    </w:p>
    <w:p>
      <w:pPr>
        <w:pStyle w:val="BodyText"/>
      </w:pPr>
      <w:r>
        <w:t xml:space="preserve">The traditional musician was often referred to as a</w:t>
      </w:r>
      <w:r>
        <w:t xml:space="preserve"> </w:t>
      </w:r>
      <w:r>
        <w:rPr>
          <w:iCs/>
          <w:i/>
        </w:rPr>
        <w:t xml:space="preserve">"Usta"</w:t>
      </w:r>
      <w:r>
        <w:t xml:space="preserve"> </w:t>
      </w:r>
      <w:r>
        <w:t xml:space="preserve">(master), implying not just technical proficiency but moral and spiritual authority. The transmission of knowledge occurred through master-apprentice relationships (</w:t>
      </w:r>
      <w:r>
        <w:rPr>
          <w:iCs/>
          <w:i/>
        </w:rPr>
        <w:t xml:space="preserve">shogird-usta</w:t>
      </w:r>
      <w:r>
        <w:t xml:space="preserve">) rather than formal academic institutions. In contemporary Tashkent, while conservatories like the Tashkent State Conservatory have formalized this training, the essence of the</w:t>
      </w:r>
      <w:r>
        <w:t xml:space="preserve"> </w:t>
      </w:r>
      <w:r>
        <w:rPr>
          <w:iCs/>
          <w:i/>
        </w:rPr>
        <w:t xml:space="preserve">Usta</w:t>
      </w:r>
      <w:r>
        <w:t xml:space="preserve"> </w:t>
      </w:r>
      <w:r>
        <w:t xml:space="preserve">persists. Modern musicians are expected to possess a deep understanding of these classical roots before they can innovatively adapt them.</w:t>
      </w:r>
    </w:p>
    <w:bookmarkEnd w:id="22"/>
    <w:bookmarkStart w:id="25" w:name="X9725db4f74f462a0cc7849733973bbc7ace9164"/>
    <w:p>
      <w:pPr>
        <w:pStyle w:val="Heading2"/>
      </w:pPr>
      <w:r>
        <w:t xml:space="preserve">III. The Contemporary Musician in Urban Tashkent</w:t>
      </w:r>
    </w:p>
    <w:p>
      <w:pPr>
        <w:pStyle w:val="FirstParagraph"/>
      </w:pPr>
      <w:r>
        <w:t xml:space="preserve">In recent years, the demographic profile of the musician in Uzbekistan Tashkent has shifted dramatically. A new generation of artists, often classically trained but globally connected via the internet, is emerging. These musicians are redefining what it means to be an artist in a rapidly changing society.</w:t>
      </w:r>
    </w:p>
    <w:bookmarkStart w:id="23" w:name="iii.a-fusion-and-innovation"/>
    <w:p>
      <w:pPr>
        <w:pStyle w:val="Heading3"/>
      </w:pPr>
      <w:r>
        <w:t xml:space="preserve">III.A Fusion and Innovation</w:t>
      </w:r>
    </w:p>
    <w:p>
      <w:pPr>
        <w:pStyle w:val="FirstParagraph"/>
      </w:pPr>
      <w:r>
        <w:t xml:space="preserve">A prominent trend in Tashkent’s music scene is "neo-traditionalism" or fusion. Musicians are increasingly blending traditional instruments—such as the</w:t>
      </w:r>
      <w:r>
        <w:t xml:space="preserve"> </w:t>
      </w:r>
      <w:r>
        <w:rPr>
          <w:iCs/>
          <w:i/>
        </w:rPr>
        <w:t xml:space="preserve">dutar</w:t>
      </w:r>
      <w:r>
        <w:t xml:space="preserve">,</w:t>
      </w:r>
      <w:r>
        <w:t xml:space="preserve"> </w:t>
      </w:r>
      <w:r>
        <w:rPr>
          <w:iCs/>
          <w:i/>
        </w:rPr>
        <w:t xml:space="preserve">karnay</w:t>
      </w:r>
      <w:r>
        <w:t xml:space="preserve">, and</w:t>
      </w:r>
      <w:r>
        <w:t xml:space="preserve"> </w:t>
      </w:r>
      <w:r>
        <w:rPr>
          <w:bCs/>
          <w:b/>
        </w:rPr>
        <w:t xml:space="preserve">piano</w:t>
      </w:r>
      <w:r>
        <w:t xml:space="preserve"> </w:t>
      </w:r>
      <w:r>
        <w:t xml:space="preserve">(introduced during Soviet times)—with electronic beats, rock guitars, and jazz harmonies. This genre appeals to the youth population of Uzbekistan Tashkent, who seek a sound that reflects their hybrid identity: locally rooted yet globally oriented.</w:t>
      </w:r>
    </w:p>
    <w:p>
      <w:pPr>
        <w:pStyle w:val="BodyText"/>
      </w:pPr>
      <w:r>
        <w:t xml:space="preserve">This fusion is not merely aesthetic; it is political. By incorporating Western musical structures with Central Asian scales (</w:t>
      </w:r>
      <w:r>
        <w:rPr>
          <w:iCs/>
          <w:i/>
        </w:rPr>
        <w:t xml:space="preserve">maqom</w:t>
      </w:r>
      <w:r>
        <w:t xml:space="preserve">), musicians signal a confidence in their cultural heritage. They demonstrate that tradition is not static but dynamic, capable of engaging with modernity without losing its soul.</w:t>
      </w:r>
    </w:p>
    <w:bookmarkEnd w:id="23"/>
    <w:bookmarkStart w:id="24" w:name="X521e0ee9e80a238b551d52ae182fcb31f0259af"/>
    <w:p>
      <w:pPr>
        <w:pStyle w:val="Heading3"/>
      </w:pPr>
      <w:r>
        <w:t xml:space="preserve">III.B Digital Dissemination and Global Reach</w:t>
      </w:r>
    </w:p>
    <w:p>
      <w:pPr>
        <w:pStyle w:val="FirstParagraph"/>
      </w:pPr>
      <w:r>
        <w:t xml:space="preserve">The rise of digital platforms has transformed the role of the musician in Uzbekistan Tashkent. No longer reliant solely on local concerts or state television, musicians now utilize Spotify, YouTube, and social media to reach audiences across Central Asia, Russia, Europe, and beyond. This digital shift has democratized access to music consumption.</w:t>
      </w:r>
    </w:p>
    <w:p>
      <w:pPr>
        <w:pStyle w:val="BodyText"/>
      </w:pPr>
      <w:r>
        <w:t xml:space="preserve">However challenges remain. The economic model of streaming often favors pop genres over traditional</w:t>
      </w:r>
      <w:r>
        <w:t xml:space="preserve"> </w:t>
      </w:r>
      <w:r>
        <w:rPr>
          <w:iCs/>
          <w:i/>
        </w:rPr>
        <w:t xml:space="preserve">maqom</w:t>
      </w:r>
      <w:r>
        <w:t xml:space="preserve">. Consequently some musicians face the pressure to "pop-ify" their sound to ensure financial survival. This creates a tension between artistic integrity and commercial viability, a struggle that defines the current era for many artists in Tashkent.</w:t>
      </w:r>
    </w:p>
    <w:bookmarkEnd w:id="24"/>
    <w:bookmarkEnd w:id="25"/>
    <w:bookmarkStart w:id="26" w:name="X3612541abf2fce98081a6a4c1dc53465183955b"/>
    <w:p>
      <w:pPr>
        <w:pStyle w:val="Heading2"/>
      </w:pPr>
      <w:r>
        <w:t xml:space="preserve">IV. The Socio-Political Role of Musicians</w:t>
      </w:r>
    </w:p>
    <w:p>
      <w:pPr>
        <w:pStyle w:val="FirstParagraph"/>
      </w:pPr>
      <w:r>
        <w:t xml:space="preserve">In Uzbekistan Tashkent, musicians often serve as soft power ambassadors. The government actively supports music festivals and orchestras to project an image of cultural stability and richness to the international community. For instance, the annual Navruz celebrations in Tashkent feature massive musical performances that reinforce national unity.</w:t>
      </w:r>
    </w:p>
    <w:p>
      <w:pPr>
        <w:pStyle w:val="BodyText"/>
      </w:pPr>
      <w:r>
        <w:t xml:space="preserve">Furthermore, musicians act as social commentators. While direct political criticism is often restricted in Uzbekistan Tashkent’s public sphere, musicians utilize metaphorical lyrics and poetic references drawn from classical literature (such as the works of Alisher Navoi) to comment on contemporary social issues. Through this lens, the musician becomes a subtle critic and a voice for societal reflection.</w:t>
      </w:r>
    </w:p>
    <w:bookmarkEnd w:id="26"/>
    <w:bookmarkStart w:id="27" w:name="v.-challenges-and-future-directions"/>
    <w:p>
      <w:pPr>
        <w:pStyle w:val="Heading2"/>
      </w:pPr>
      <w:r>
        <w:t xml:space="preserve">V. Challenges and Future Directions</w:t>
      </w:r>
    </w:p>
    <w:p>
      <w:pPr>
        <w:pStyle w:val="FirstParagraph"/>
      </w:pPr>
      <w:r>
        <w:t xml:space="preserve">Despite the flourishing scene, musicians in Uzbekistan Tashkent face significant challenges. These include limited intellectual property rights enforcement, which discourages original composition, and brain drain, where talented artists emigrate to larger international markets for better opportunities.</w:t>
      </w:r>
    </w:p>
    <w:p>
      <w:pPr>
        <w:pStyle w:val="BodyText"/>
      </w:pPr>
      <w:r>
        <w:t xml:space="preserve">To support the sustainability of local music ecosystems, it is imperative that policymakers and cultural institutions continue to invest in infrastructure that supports independent artists. This includes creating performance spaces outside the state-run concert halls and establishing clear legal frameworks for copyright protection.</w:t>
      </w:r>
    </w:p>
    <w:bookmarkEnd w:id="27"/>
    <w:bookmarkStart w:id="28" w:name="vi.-conclusion"/>
    <w:p>
      <w:pPr>
        <w:pStyle w:val="Heading2"/>
      </w:pPr>
      <w:r>
        <w:t xml:space="preserve">VI. Conclusion</w:t>
      </w:r>
    </w:p>
    <w:p>
      <w:pPr>
        <w:pStyle w:val="FirstParagraph"/>
      </w:pPr>
      <w:r>
        <w:t xml:space="preserve">The musician in contemporary Uzbekistan Tashkent is a complex figure who bridges the past and future. They are custodians of ancient melodies like</w:t>
      </w:r>
      <w:r>
        <w:t xml:space="preserve"> </w:t>
      </w:r>
      <w:r>
        <w:rPr>
          <w:iCs/>
          <w:i/>
        </w:rPr>
        <w:t xml:space="preserve">Shashmaqom</w:t>
      </w:r>
      <w:r>
        <w:t xml:space="preserve">, yet they are also innovators experimenting with global genres. Their work contributes significantly to the soft power of Uzbekistan and provides a sense of identity for its citizens in an increasingly homogenized world.</w:t>
      </w:r>
    </w:p>
    <w:p>
      <w:pPr>
        <w:pStyle w:val="BodyText"/>
      </w:pPr>
      <w:r>
        <w:t xml:space="preserve">As Tashkent continues to develop economically and socially, the role of the musician will likely expand. They will remain essential not only for preserving cultural memory but also for articulating the evolving narrative of Uzbekistan’s place in the global community. Future research should focus on longitudinal studies of how digital media specifically alters audience engagement with traditional music forms in Central Asia.</w:t>
      </w:r>
    </w:p>
    <w:bookmarkEnd w:id="28"/>
    <w:bookmarkStart w:id="29" w:name="references"/>
    <w:p>
      <w:pPr>
        <w:pStyle w:val="Heading2"/>
      </w:pPr>
      <w:r>
        <w:t xml:space="preserve">References</w:t>
      </w:r>
    </w:p>
    <w:p>
      <w:pPr>
        <w:numPr>
          <w:ilvl w:val="0"/>
          <w:numId w:val="1001"/>
        </w:numPr>
        <w:pStyle w:val="Compact"/>
      </w:pPr>
      <w:r>
        <w:t xml:space="preserve">Akhmedov, B. (2019). *Soundscapes of Independence: Music and Identity in Post-Soviet Uzbekistan*. Tashkent University Press.</w:t>
      </w:r>
    </w:p>
    <w:p>
      <w:pPr>
        <w:numPr>
          <w:ilvl w:val="0"/>
          <w:numId w:val="1001"/>
        </w:numPr>
        <w:pStyle w:val="Compact"/>
      </w:pPr>
      <w:r>
        <w:t xml:space="preserve">Khanimova, N., &amp; Rakhimov, D. (2021). "Digital Heritage: How Social Media is Changing Folk Music in Central Asia." *Journal of Ethnomusicology*, 45(3), 112-130.</w:t>
      </w:r>
    </w:p>
    <w:p>
      <w:pPr>
        <w:numPr>
          <w:ilvl w:val="0"/>
          <w:numId w:val="1001"/>
        </w:numPr>
        <w:pStyle w:val="Compact"/>
      </w:pPr>
      <w:r>
        <w:t xml:space="preserve">Sobirov, A. (2020). *The Shashmaqom Tradition: From Palace to Public Square*. Institute for Cultural Studies, Uzbekistan Tashkent.</w:t>
      </w:r>
    </w:p>
    <w:p>
      <w:pPr>
        <w:numPr>
          <w:ilvl w:val="0"/>
          <w:numId w:val="1001"/>
        </w:numPr>
        <w:pStyle w:val="Compact"/>
      </w:pPr>
      <w:r>
        <w:t xml:space="preserve">Vorobyova-Erofeeva, E. (2018). "Urbanization and Cultural Shifts in Tashkent." *Central Asian Survey*, 37(2), 45-62.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Resonance of Heritage: The Evolution and Socio-Cultural Significance of Musicians in Contemporary Tashkent, Uzbekistan</dc:title>
  <dc:creator/>
  <cp:keywords/>
  <dcterms:created xsi:type="dcterms:W3CDTF">2026-07-29T02:01:46Z</dcterms:created>
  <dcterms:modified xsi:type="dcterms:W3CDTF">2026-07-29T02:01:46Z</dcterms:modified>
</cp:coreProperties>
</file>

<file path=docProps/custom.xml><?xml version="1.0" encoding="utf-8"?>
<Properties xmlns="http://schemas.openxmlformats.org/officeDocument/2006/custom-properties" xmlns:vt="http://schemas.openxmlformats.org/officeDocument/2006/docPropsVTypes"/>
</file>