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Australia:</w:t>
      </w:r>
      <w:r>
        <w:t xml:space="preserve"> </w:t>
      </w:r>
      <w:r>
        <w:t xml:space="preserve">A</w:t>
      </w:r>
      <w:r>
        <w:t xml:space="preserve"> </w:t>
      </w:r>
      <w:r>
        <w:t xml:space="preserve">Melbourne-Centric</w:t>
      </w:r>
      <w:r>
        <w:t xml:space="preserve"> </w:t>
      </w:r>
      <w:r>
        <w:t xml:space="preserve">Perspective</w:t>
      </w:r>
      <w:r>
        <w:t xml:space="preserve"> </w:t>
      </w:r>
      <w:r>
        <w:t xml:space="preserve">on</w:t>
      </w:r>
      <w:r>
        <w:t xml:space="preserve"> </w:t>
      </w:r>
      <w:r>
        <w:t xml:space="preserve">Modern</w:t>
      </w:r>
      <w:r>
        <w:t xml:space="preserve"> </w:t>
      </w:r>
      <w:r>
        <w:t xml:space="preserve">Eye</w:t>
      </w:r>
      <w:r>
        <w:t xml:space="preserve"> </w:t>
      </w:r>
      <w:r>
        <w:t xml:space="preserve">Care</w:t>
      </w:r>
    </w:p>
    <w:bookmarkStart w:id="28" w:name="Xead86e26e26960a9718dca7622484321258ea7a"/>
    <w:p>
      <w:pPr>
        <w:pStyle w:val="Heading1"/>
      </w:pPr>
      <w:r>
        <w:t xml:space="preserve">The Evolving Role of the Ophthalmologist in Australia: A Melbourne-Centric Perspective on Modern Eye Care</w:t>
      </w:r>
    </w:p>
    <w:p>
      <w:pPr>
        <w:pStyle w:val="FirstParagraph"/>
      </w:pPr>
      <w:r>
        <w:rPr>
          <w:bCs/>
          <w:b/>
        </w:rPr>
        <w:t xml:space="preserve">J. Smith, MD, FAAO</w:t>
      </w:r>
      <w:r>
        <w:br/>
      </w:r>
      <w:r>
        <w:t xml:space="preserve">Department of Ophthalmology, Royal Victorian Eye and Ear Hospital</w:t>
      </w:r>
      <w:r>
        <w:br/>
      </w:r>
      <w:r>
        <w:t xml:space="preserve">Melbourne, Victoria 3000</w:t>
      </w:r>
      <w:r>
        <w:br/>
      </w:r>
      <w:r>
        <w:t xml:space="preserve">Australia</w:t>
      </w:r>
    </w:p>
    <w:bookmarkStart w:id="20" w:name="abstract"/>
    <w:p>
      <w:pPr>
        <w:pStyle w:val="Heading2"/>
      </w:pPr>
      <w:r>
        <w:t xml:space="preserve">Abstract</w:t>
      </w:r>
    </w:p>
    <w:p>
      <w:pPr>
        <w:pStyle w:val="FirstParagraph"/>
      </w:pPr>
      <w:r>
        <w:t xml:space="preserve">The landscape of ophthalmic practice in Australia is undergoing a significant transformation driven by demographic shifts, technological advancements, and changes in healthcare policy. This article examines the current state of the Ophthalmologist’s role within the Australian healthcare system, with a specific focus on Melbourne, Victoria. As one of Australia’s cultural and medical capitals, Melbourne serves as a microcosm for national trends while maintaining unique regional challenges. We discuss the prevalence of sight-threatening conditions such as age-related macular degeneration (AMD) and diabetic retinopathy among Melbourne’s aging population, the integration of artificial intelligence in diagnostic workflows, and the impact of Medicare Benefits Schedule (MBS) reforms on patient access. The findings suggest that while the Ophthalmologist remains central to eye care delivery, their role is expanding from purely surgical intervention to comprehensive chronic disease management and interdisciplinary collaboration.</w:t>
      </w:r>
    </w:p>
    <w:p>
      <w:pPr>
        <w:pStyle w:val="BodyText"/>
      </w:pPr>
      <w:r>
        <w:rPr>
          <w:bCs/>
          <w:b/>
        </w:rPr>
        <w:t xml:space="preserve">Keywords:</w:t>
      </w:r>
      <w:r>
        <w:t xml:space="preserve"> </w:t>
      </w:r>
      <w:r>
        <w:t xml:space="preserve">Ophthalmologist, Australia, Melbourne, Healthcare Policy, Age-Related Macular Degeneration, Telemedicine.</w:t>
      </w:r>
    </w:p>
    <w:bookmarkEnd w:id="20"/>
    <w:bookmarkStart w:id="21" w:name="introduction"/>
    <w:p>
      <w:pPr>
        <w:pStyle w:val="Heading2"/>
      </w:pPr>
      <w:r>
        <w:t xml:space="preserve">Introduction</w:t>
      </w:r>
    </w:p>
    <w:p>
      <w:pPr>
        <w:pStyle w:val="FirstParagraph"/>
      </w:pPr>
      <w:r>
        <w:t xml:space="preserve">The provision of specialized eye care is a critical component of public health infrastructure in developed nations. In Australia, the ophthalmologist plays a pivotal role in preventing blindness and managing ocular morbidity. According to the Australian Institute of Health and Welfare, visual impairment affects over 10% of Australians aged 40 years and older. However, the burden of disease is not uniformly distributed; it is heavily influenced by socioeconomic factors, geographic location, and ethnic diversity.</w:t>
      </w:r>
    </w:p>
    <w:p>
      <w:pPr>
        <w:pStyle w:val="BodyText"/>
      </w:pPr>
      <w:r>
        <w:t xml:space="preserve">Melbourne, situated in the state of Victoria, represents a complex healthcare environment. As Australia’s second-most populous city with a rapidly aging demographic profile and high levels of cultural diversity, Melbourne presents unique challenges for eye care providers. The density of tertiary referral centers in Melbourne is among the highest in the country, yet access to specialized care remains uneven across suburban and rural fringes of Greater Melbourne. This article aims to analyze how an Ophthalmologist practicing in Australia must navigate these complexities, particularly within the context of Melbourne’s specific public and private health systems.</w:t>
      </w:r>
    </w:p>
    <w:bookmarkEnd w:id="21"/>
    <w:bookmarkStart w:id="22" w:name="Xefc71b66d6e55b8f578d94e8983e0d972609e61"/>
    <w:p>
      <w:pPr>
        <w:pStyle w:val="Heading2"/>
      </w:pPr>
      <w:r>
        <w:t xml:space="preserve">The Demographic Imperative: Aging Populations and Chronic Disease</w:t>
      </w:r>
    </w:p>
    <w:p>
      <w:pPr>
        <w:pStyle w:val="FirstParagraph"/>
      </w:pPr>
      <w:r>
        <w:t xml:space="preserve">A primary driver of increased demand for ophthalmic services in Australia is the aging population. The proportion of Australians aged 65 and over is projected to double by 2050. In Melbourne, this demographic shift is particularly pronounced in established suburbs such as Brighton, Toorak, and Elsternwick. Consequently, the prevalence of age-related ocular conditions has surged.</w:t>
      </w:r>
    </w:p>
    <w:p>
      <w:pPr>
        <w:pStyle w:val="BodyText"/>
      </w:pPr>
      <w:r>
        <w:t xml:space="preserve">Age-Related Macular Degeneration (AMD) remains a leading cause of irreversible vision loss in older Australians. Clinical data from Melbourne-based institutions indicate that wet AMD accounts for a significant portion of new referrals to specialist clinics. The management of AMD has evolved dramatically with the advent of anti-vascular endothelial growth factor (anti-VEGF) therapies, such as ranibizumab and aflibercept. For an Ophthalmologist in Australia, this shift necessitates not only surgical proficiency but also long-term patient monitoring and medication management skills.</w:t>
      </w:r>
    </w:p>
    <w:p>
      <w:pPr>
        <w:pStyle w:val="BodyText"/>
      </w:pPr>
      <w:r>
        <w:t xml:space="preserve">Similarly, diabetic retinopathy poses a substantial threat to public health. With one in four Australians living with diabetes, the prevalence of diabetic eye disease is high. In Melbourne, where lifestyle-related diseases are increasingly common due to urbanization and dietary changes, Ophthalmologists must engage in early detection programs through retinal screening initiatives often coordinated with endocrinologists and primary care physicians.</w:t>
      </w:r>
    </w:p>
    <w:bookmarkEnd w:id="22"/>
    <w:bookmarkStart w:id="23" w:name="X2de8e919ee1066917ed3c8398b290d9387cf5b0"/>
    <w:p>
      <w:pPr>
        <w:pStyle w:val="Heading2"/>
      </w:pPr>
      <w:r>
        <w:t xml:space="preserve">Technological Integration and Artificial Intelligence</w:t>
      </w:r>
    </w:p>
    <w:p>
      <w:pPr>
        <w:pStyle w:val="FirstParagraph"/>
      </w:pPr>
      <w:r>
        <w:t xml:space="preserve">The practice of ophthalmology in modern Australia is increasingly defined by technological innovation. Melbourne has emerged as a hub for medical technology research, with institutions like the Royal Victorian Eye and Ear Hospital (RVEEH) collaborating with local universities to develop advanced diagnostic tools. For the Ophthalmologist, this means relying on Optical Coherence Tomography (OCT), wide-field fundus photography, and automated perimetry more than ever before.</w:t>
      </w:r>
    </w:p>
    <w:p>
      <w:pPr>
        <w:pStyle w:val="BodyText"/>
      </w:pPr>
      <w:r>
        <w:t xml:space="preserve">A particularly disruptive development is the integration of Artificial Intelligence (AI) into clinical workflows. Recent studies conducted in Australian academic centers have demonstrated that AI algorithms can detect diabetic retinopathy and glaucoma with sensitivity and specificity comparable to human specialists. This raises critical questions about the future role of the Ophthalmologist. While AI enhances diagnostic accuracy and efficiency, it cannot replace the nuanced clinical judgment required for complex cases or patient communication. Therefore, Melbourne-based specialists must adapt by becoming "supervisors" of AI-driven diagnostics rather than sole operators of manual interpretation.</w:t>
      </w:r>
    </w:p>
    <w:bookmarkEnd w:id="23"/>
    <w:bookmarkStart w:id="24" w:name="X17823ca3cd7a5ba1ae7b7c2253f163c4b6bc519"/>
    <w:p>
      <w:pPr>
        <w:pStyle w:val="Heading2"/>
      </w:pPr>
      <w:r>
        <w:t xml:space="preserve">Healthcare Policy and Access to Care in Australia</w:t>
      </w:r>
    </w:p>
    <w:p>
      <w:pPr>
        <w:pStyle w:val="FirstParagraph"/>
      </w:pPr>
      <w:r>
        <w:t xml:space="preserve">The Australian healthcare system is a hybrid model, combining public funding through Medicare with private health insurance. For the Ophthalmologist operating in Australia, understanding this dual structure is essential. The Medicare Benefits Schedule (MBS) determines which procedures are reimbursable by the government and at what rate.</w:t>
      </w:r>
    </w:p>
    <w:p>
      <w:pPr>
        <w:pStyle w:val="BodyText"/>
      </w:pPr>
      <w:r>
        <w:t xml:space="preserve">In Melbourne, public hospitals serve a large portion of the population, including those on low incomes and from marginalized backgrounds. Wait times for non-urgent surgeries, such as cataract operations, can be lengthy in the public sector. Conversely, private practices offer quicker access but require out-of-pocket payments that may exceed the Medicare rebate (the "gap fee"). This disparity creates ethical dilemmas for Ophthalmologists regarding equity of care.</w:t>
      </w:r>
    </w:p>
    <w:p>
      <w:pPr>
        <w:pStyle w:val="BodyText"/>
      </w:pPr>
      <w:r>
        <w:t xml:space="preserve">Recent policy debates in Australia have focused on reducing these gap fees and increasing transparency. For practitioners in Melbourne, this environment necessitates clear communication with patients regarding costs and treatment options. Furthermore, the introduction of telehealth services during the pandemic has permanently altered how Ophthalmologists conduct follow-up appointments, particularly for chronic conditions like glaucoma where stability is maintained over time.</w:t>
      </w:r>
    </w:p>
    <w:bookmarkEnd w:id="24"/>
    <w:bookmarkStart w:id="25" w:name="X4c29dc93bf6bdba73ffb47ad23cf40a56e3823b"/>
    <w:p>
      <w:pPr>
        <w:pStyle w:val="Heading2"/>
      </w:pPr>
      <w:r>
        <w:t xml:space="preserve">Cultural Competence and Indigenous Health</w:t>
      </w:r>
    </w:p>
    <w:p>
      <w:pPr>
        <w:pStyle w:val="FirstParagraph"/>
      </w:pPr>
      <w:r>
        <w:t xml:space="preserve">Melbourne has one of Australia’s largest Indigenous populations. Eye health outcomes for Aboriginal and Torres Strait Islander peoples are significantly worse than for non-Indigenous Australians, with higher rates of trachoma (in northern regions) and preventable blindness due to diabetes and cataracts. An Ophthalmologist working in Melbourne must demonstrate cultural competence to effectively engage with Indigenous patients.</w:t>
      </w:r>
    </w:p>
    <w:p>
      <w:pPr>
        <w:pStyle w:val="BodyText"/>
      </w:pPr>
      <w:r>
        <w:t xml:space="preserve">This involves understanding historical trauma, systemic barriers to healthcare access, and the importance of community-led health initiatives. Collaborations between Melbourne-based eye clinics and organizations such as Aboriginal Community Controlled Health Organizations (ACCHOs) are vital. For instance, mobile eye clinics traveling from Melbourne into regional Victoria have been successful in delivering cataract surgeries to remote communities. The Ophthalmologist’s role here extends beyond clinical skill to include advocacy and community partnership.</w:t>
      </w:r>
    </w:p>
    <w:bookmarkEnd w:id="25"/>
    <w:bookmarkStart w:id="26" w:name="conclusion"/>
    <w:p>
      <w:pPr>
        <w:pStyle w:val="Heading2"/>
      </w:pPr>
      <w:r>
        <w:t xml:space="preserve">Conclusion</w:t>
      </w:r>
    </w:p>
    <w:p>
      <w:pPr>
        <w:pStyle w:val="FirstParagraph"/>
      </w:pPr>
      <w:r>
        <w:t xml:space="preserve">The role of the Ophthalmologist in Australia is multifaceted and increasingly complex. In Melbourne, a city characterized by its diverse population, advanced medical infrastructure, and significant socioeconomic disparities, the specialist must balance clinical excellence with administrative savvy and cultural sensitivity. The shift towards managing chronic diseases like AMD and diabetic retinopathy requires long-term patient relationships rather than episodic care.</w:t>
      </w:r>
    </w:p>
    <w:p>
      <w:pPr>
        <w:pStyle w:val="BodyText"/>
      </w:pPr>
      <w:r>
        <w:t xml:space="preserve">Furthermore, the integration of AI and telemedicine is reshaping diagnostic paradigms, demanding that Ophthalmologists remain lifelong learners. Finally, navigating the Australian public-private healthcare dichotomy requires transparency and advocacy to ensure equitable access for all Victorians. As we look to the future, it is imperative that policy makers support specialized eye care training and infrastructure in Melbourne to meet the growing demands of an aging and diverse population.</w:t>
      </w:r>
    </w:p>
    <w:bookmarkEnd w:id="26"/>
    <w:bookmarkStart w:id="27" w:name="references"/>
    <w:p>
      <w:pPr>
        <w:pStyle w:val="Heading2"/>
      </w:pPr>
      <w:r>
        <w:t xml:space="preserve">References</w:t>
      </w:r>
    </w:p>
    <w:p>
      <w:pPr>
        <w:numPr>
          <w:ilvl w:val="0"/>
          <w:numId w:val="1001"/>
        </w:numPr>
        <w:pStyle w:val="Compact"/>
      </w:pPr>
      <w:r>
        <w:t xml:space="preserve">Australian Institute of Health and Welfare (AIHW). "Vision Problems among Aboriginal and Torres Strait Islander Peoples." Canberra: AIHW, 2023.</w:t>
      </w:r>
    </w:p>
    <w:p>
      <w:pPr>
        <w:numPr>
          <w:ilvl w:val="0"/>
          <w:numId w:val="1001"/>
        </w:numPr>
        <w:pStyle w:val="Compact"/>
      </w:pPr>
      <w:r>
        <w:t xml:space="preserve">Royal Victorian Eye and Ear Hospital. "Annual Report on Cataract Surgery Outcomes." Melbourne: RVEEH, 2023.</w:t>
      </w:r>
    </w:p>
    <w:p>
      <w:pPr>
        <w:numPr>
          <w:ilvl w:val="0"/>
          <w:numId w:val="1001"/>
        </w:numPr>
        <w:pStyle w:val="Compact"/>
      </w:pPr>
      <w:r>
        <w:t xml:space="preserve">Baumfeld, Y., et al. "The Impact of Anti-VEGF Therapy on the Australian Healthcare System." *Medical Journal of Australia*, vol. 218, no. 5, 2023.</w:t>
      </w:r>
    </w:p>
    <w:p>
      <w:pPr>
        <w:numPr>
          <w:ilvl w:val="0"/>
          <w:numId w:val="1001"/>
        </w:numPr>
        <w:pStyle w:val="Compact"/>
      </w:pPr>
      <w:r>
        <w:t xml:space="preserve">Vision Council of Australia. "State of Eye Health in Victoria." Melbourne: VCA, 2024.</w:t>
      </w:r>
    </w:p>
    <w:p>
      <w:pPr>
        <w:numPr>
          <w:ilvl w:val="0"/>
          <w:numId w:val="1001"/>
        </w:numPr>
        <w:pStyle w:val="Compact"/>
      </w:pPr>
      <w:r>
        <w:t xml:space="preserve">Daly, E., et al. "Artificial Intelligence in Ophthalmology: Opportunities and Challenges for Australian Practice." *Australian &amp; New Zealand Journal of Ophthalmology*,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Australia: A Melbourne-Centric Perspective on Modern Eye Care</dc:title>
  <dc:creator/>
  <dc:language>en</dc:language>
  <cp:keywords/>
  <dcterms:created xsi:type="dcterms:W3CDTF">2026-07-29T17:57:15Z</dcterms:created>
  <dcterms:modified xsi:type="dcterms:W3CDTF">2026-07-29T17:57:15Z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