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Sydney's</w:t>
      </w:r>
      <w:r>
        <w:t xml:space="preserve"> </w:t>
      </w:r>
      <w:r>
        <w:t xml:space="preserve">Healthcare</w:t>
      </w:r>
      <w:r>
        <w:t xml:space="preserve"> </w:t>
      </w:r>
      <w:r>
        <w:t xml:space="preserve">Ecosystem</w:t>
      </w:r>
    </w:p>
    <w:bookmarkStart w:id="30" w:name="X3a91e1ae7993fa30dcccad8014701e4c8a55e24"/>
    <w:p>
      <w:pPr>
        <w:pStyle w:val="Heading1"/>
      </w:pPr>
      <w:r>
        <w:t xml:space="preserve">The Evolving Landscape of Ophthalmology in Australia: A Focus on Sydney’s Healthcare Ecosystem</w:t>
      </w:r>
    </w:p>
    <w:p>
      <w:pPr>
        <w:pStyle w:val="FirstParagraph"/>
      </w:pPr>
      <w:r>
        <w:t xml:space="preserve">Dr. James A. Sterling, MD, PhD</w:t>
      </w:r>
      <w:r>
        <w:br/>
      </w:r>
      <w:r>
        <w:t xml:space="preserve">Department of Clinical Ophthalmology, University of New South Wales</w:t>
      </w:r>
      <w:r>
        <w:br/>
      </w:r>
      <w:r>
        <w:t xml:space="preserve">Correspondence: j.sterling@unsw.edu.au</w:t>
      </w:r>
    </w:p>
    <w:p>
      <w:pPr>
        <w:pStyle w:val="BodyText"/>
      </w:pPr>
      <w:r>
        <w:rPr>
          <w:iCs/>
          <w:i/>
          <w:bCs/>
          <w:b/>
        </w:rPr>
        <w:t xml:space="preserve">Abstract</w:t>
      </w:r>
      <w:r>
        <w:br/>
      </w:r>
      <w:r>
        <w:t xml:space="preserve">This article examines the critical role and operational dynamics of an ophthalmologist within the contemporary Australian healthcare system, with a specific geographical and sociological focus on Sydney. As a primary hub for medical innovation in the Southern Hemisphere, Sydney presents unique challenges and opportunities for eye care specialists. This paper analyzes the tripartite structure of ophthalmic services in New South Wales—public, private, and allied health—and evaluates how an ophthalmologist navigates this complex environment to address rising prevalence rates of age-related macular degeneration (AMD) and diabetic retinopathy. Furthermore, it discusses the impact of telemedicine post-pandemic on patient accessibility in metropolitan versus outer-metropolitan Sydney. The findings suggest that while technological advancements have optimized diagnostic accuracy, systemic pressures regarding wait times and workforce distribution remain significant hurdles for an ophthalmologist practicing in this region.</w:t>
      </w:r>
    </w:p>
    <w:bookmarkStart w:id="20" w:name="introduction"/>
    <w:p>
      <w:pPr>
        <w:pStyle w:val="Heading2"/>
      </w:pPr>
      <w:r>
        <w:t xml:space="preserve">Introduction</w:t>
      </w:r>
    </w:p>
    <w:p>
      <w:pPr>
        <w:pStyle w:val="FirstParagraph"/>
      </w:pPr>
      <w:r>
        <w:t xml:space="preserve">The practice of ophthalmology is a discipline defined by the convergence of surgical precision, medical management, and technological innovation. In Australia, a nation known for its robust public health infrastructure and high standards of living, the demand for specialized eye care is increasing due to demographic shifts. Nowhere is this trend more pronounced than in Sydney, New South Wales (NSW). As Australia’s most populous city and a multicultural metropolis with a significant aging population, Sydney serves as a microcosm for understanding the broader challenges facing an ophthalmologist in the country.</w:t>
      </w:r>
    </w:p>
    <w:p>
      <w:pPr>
        <w:pStyle w:val="BodyText"/>
      </w:pPr>
      <w:r>
        <w:t xml:space="preserve">This article explores the multifaceted role of an ophthalmologist in Sydney, dissecting their responsibilities across various sectors. It argues that modern practice requires not only clinical excellence but also adept navigation of Australia’s mixed-health system, which includes Medicare (the universal public health insurance scheme) and private health insurance mechanisms. Understanding the local context is essential for appreciating how an ophthalmologist delivers care in this specific geographic locale.</w:t>
      </w:r>
    </w:p>
    <w:bookmarkEnd w:id="20"/>
    <w:bookmarkStart w:id="21" w:name="X205b43ce69d7763375c75029a87d798f5a3b305"/>
    <w:p>
      <w:pPr>
        <w:pStyle w:val="Heading2"/>
      </w:pPr>
      <w:r>
        <w:t xml:space="preserve">The Demographic and Epidemiological Context of Sydney</w:t>
      </w:r>
    </w:p>
    <w:p>
      <w:pPr>
        <w:pStyle w:val="FirstParagraph"/>
      </w:pPr>
      <w:r>
        <w:t xml:space="preserve">To understand the workload of an ophthalmologist in Australia, particularly one based in Sydney, one must first consider the epidemiological landscape. NSW has a rapidly aging population. According to recent data from the Australian Institute of Health and Welfare (AIHW), a significant proportion of Sydneysiders are over the age of 65. This demographic shift correlates directly with an increased prevalence of chronic ocular conditions.</w:t>
      </w:r>
    </w:p>
    <w:p>
      <w:pPr>
        <w:pStyle w:val="BodyText"/>
      </w:pPr>
      <w:r>
        <w:t xml:space="preserve">Age-related macular degeneration (AMD) and glaucoma are leading causes of vision impairment in this cohort. Furthermore, Sydney’s diverse population includes high rates of Type 2 diabetes, a primary risk factor for diabetic retinopathy. For an ophthalmologist operating in this environment, the clinical portfolio is heavily skewed toward managing these chronic diseases. Unlike rural regions where trauma or congenital anomalies might present more frequently due to different occupational hazards, the urban density of Sydney places a premium on preventative screening and long-term management of degenerative conditions.</w:t>
      </w:r>
    </w:p>
    <w:bookmarkEnd w:id="21"/>
    <w:bookmarkStart w:id="24" w:name="X1eca9646c97fd7474f5b8f3942eb54334d693c3"/>
    <w:p>
      <w:pPr>
        <w:pStyle w:val="Heading2"/>
      </w:pPr>
      <w:r>
        <w:t xml:space="preserve">The Tripartite Structure of Care in New South Wales</w:t>
      </w:r>
    </w:p>
    <w:p>
      <w:pPr>
        <w:pStyle w:val="FirstParagraph"/>
      </w:pPr>
      <w:r>
        <w:t xml:space="preserve">An ophthalmologist in Sydney typically operates within a hybrid system comprising public hospital services, private practice, and academic research. This tripartite structure is characteristic of the Australian medical model but is particularly intense in metropolitan centers like Sydney.</w:t>
      </w:r>
    </w:p>
    <w:bookmarkStart w:id="22" w:name="public-sector-responsibilities"/>
    <w:p>
      <w:pPr>
        <w:pStyle w:val="Heading3"/>
      </w:pPr>
      <w:r>
        <w:t xml:space="preserve">Public Sector Responsibilities</w:t>
      </w:r>
    </w:p>
    <w:p>
      <w:pPr>
        <w:pStyle w:val="FirstParagraph"/>
      </w:pPr>
      <w:r>
        <w:t xml:space="preserve">In the public sector, an ophthalmologist serves major institutions such as The Sydney Eye Hospital (Westmead) or Prince of Wales Hospital. Here, the role is heavily focused on complex surgical cases that are not viable in private practice due to cost or risk factors. Patients waiting for cataract surgery or retinal detachment repair in the public system may face significant delays, a challenge well-documented in Australian health policy literature. The ophthalmologist must prioritize cases based on clinical urgency, requiring rigorous triage skills and ethical decision-making.</w:t>
      </w:r>
    </w:p>
    <w:bookmarkEnd w:id="22"/>
    <w:bookmarkStart w:id="23" w:name="private-practice-dynamics"/>
    <w:p>
      <w:pPr>
        <w:pStyle w:val="Heading3"/>
      </w:pPr>
      <w:r>
        <w:t xml:space="preserve">Private Practice Dynamics</w:t>
      </w:r>
    </w:p>
    <w:p>
      <w:pPr>
        <w:pStyle w:val="FirstParagraph"/>
      </w:pPr>
      <w:r>
        <w:t xml:space="preserve">Conversely, the private sector allows an ophthalmologist to address elective procedures with shorter wait times. In Sydney, where competition among specialists is high due to the concentration of medical facilities in areas like North Sydney and Chatswood, reputation and patient experience are crucial differentiators. Private practice enables quicker intervention for conditions like cataracts but requires careful management of billing codes under the Medicare Benefits Schedule (MBS) to ensure financial viability for both the provider and the patient.</w:t>
      </w:r>
    </w:p>
    <w:bookmarkEnd w:id="23"/>
    <w:bookmarkEnd w:id="24"/>
    <w:bookmarkStart w:id="25" w:name="technological-integration-and-innovation"/>
    <w:p>
      <w:pPr>
        <w:pStyle w:val="Heading2"/>
      </w:pPr>
      <w:r>
        <w:t xml:space="preserve">Technological Integration and Innovation</w:t>
      </w:r>
    </w:p>
    <w:p>
      <w:pPr>
        <w:pStyle w:val="FirstParagraph"/>
      </w:pPr>
      <w:r>
        <w:t xml:space="preserve">Sydney is home to cutting-edge research institutions, including those affiliated with UNSW Sydney and The University of Sydney. Consequently, an ophthalmologist in this region is often at the forefront of adopting new technologies. Optical Coherence Tomography (OCT), automated perimetry for glaucoma detection, and advanced laser surgical techniques are standard tools in a modern Australian eye clinic.</w:t>
      </w:r>
    </w:p>
    <w:p>
      <w:pPr>
        <w:pStyle w:val="BodyText"/>
      </w:pPr>
      <w:r>
        <w:t xml:space="preserve">Moreover, the integration of artificial intelligence (AI) in diagnostic imaging is rapidly evolving within Sydney’s hospitals. An ophthalmologist must be proficient not only in interpreting these images but also in validating AI-assisted diagnoses. This technological proficiency is vital for maintaining high standards of care and staying competitive within the Australian medical landscape.</w:t>
      </w:r>
    </w:p>
    <w:bookmarkEnd w:id="25"/>
    <w:bookmarkStart w:id="26" w:name="the-role-of-tele-ophthalmology"/>
    <w:p>
      <w:pPr>
        <w:pStyle w:val="Heading2"/>
      </w:pPr>
      <w:r>
        <w:t xml:space="preserve">The Role of Tele-Ophthalmology</w:t>
      </w:r>
    </w:p>
    <w:p>
      <w:pPr>
        <w:pStyle w:val="FirstParagraph"/>
      </w:pPr>
      <w:r>
        <w:t xml:space="preserve">The post-pandemic era has permanently altered the delivery of healthcare, including ophthalmology. In Australia, telehealth consultations have become a permanent fixture in Medicare benefits. For an ophthalmologist in Sydney, this offers unique advantages. It allows for efficient follow-up care with patients who live in outer metropolitan areas such as Western Sydney or the Hills District, reducing the need for unnecessary travel.</w:t>
      </w:r>
    </w:p>
    <w:p>
      <w:pPr>
        <w:pStyle w:val="BodyText"/>
      </w:pPr>
      <w:r>
        <w:t xml:space="preserve">However, telemedicine has limitations. A comprehensive eye examination requires slit-lamp biomicroscopy and tonometry, which cannot be performed remotely. Therefore, an ophthalmologist must effectively triage patients to determine who can be managed virtually and who requires in-person evaluation. This hybrid model improves accessibility but also places a higher cognitive load on the clinician to discern clinical cues through digital interfaces.</w:t>
      </w:r>
    </w:p>
    <w:bookmarkEnd w:id="26"/>
    <w:bookmarkStart w:id="27" w:name="challenges-and-future-directions"/>
    <w:p>
      <w:pPr>
        <w:pStyle w:val="Heading2"/>
      </w:pPr>
      <w:r>
        <w:t xml:space="preserve">Challenges and Future Directions</w:t>
      </w:r>
    </w:p>
    <w:p>
      <w:pPr>
        <w:pStyle w:val="FirstParagraph"/>
      </w:pPr>
      <w:r>
        <w:t xml:space="preserve">Despite advancements, significant challenges persist for an ophthalmologist in Australia. Workforce distribution remains a critical issue; while Sydney has a high concentration of specialists, outer-regional NSW suffers from shortages. Additionally, the rising cost of living in Sydney impacts both healthcare providers and patients, potentially affecting adherence to treatment plans for expensive therapies such as anti-VEGF injections for wet AMD.</w:t>
      </w:r>
    </w:p>
    <w:p>
      <w:pPr>
        <w:pStyle w:val="BodyText"/>
      </w:pPr>
      <w:r>
        <w:t xml:space="preserve">Furthermore, the sustainability of the public health system places strain on hospital-based ophthalmologists. Burnout is a growing concern among medical specialists globally, and the high volume of complex cases in Sydney’s public hospitals exacerbates this risk. Addressing these issues requires systemic policy changes alongside individual resilience strategies.</w:t>
      </w:r>
    </w:p>
    <w:bookmarkEnd w:id="27"/>
    <w:bookmarkStart w:id="28" w:name="conclusion"/>
    <w:p>
      <w:pPr>
        <w:pStyle w:val="Heading2"/>
      </w:pPr>
      <w:r>
        <w:t xml:space="preserve">Conclusion</w:t>
      </w:r>
    </w:p>
    <w:p>
      <w:pPr>
        <w:pStyle w:val="FirstParagraph"/>
      </w:pPr>
      <w:r>
        <w:t xml:space="preserve">In conclusion, the role of an ophthalmologist in Australia is complex, demanding a balance between clinical expertise, technological adaptation, and administrative navigation. In Sydney specifically, the combination of a dense aging population and advanced medical infrastructure creates a high-stakes environment for eye care professionals. Whether operating in public hospitals or private clinics, an ophthalmologist must remain agile to meet the evolving needs of patients. As healthcare technology continues to advance and demographic pressures mount, it is imperative that policymakers, educators, and practitioners collaborate to ensure that Sydney maintains its status as a leader in ophthalmic excellence within the Australian healthcare framework.</w:t>
      </w:r>
    </w:p>
    <w:bookmarkEnd w:id="28"/>
    <w:bookmarkStart w:id="29" w:name="references"/>
    <w:p>
      <w:pPr>
        <w:pStyle w:val="Heading2"/>
      </w:pPr>
      <w:r>
        <w:t xml:space="preserve">References</w:t>
      </w:r>
    </w:p>
    <w:p>
      <w:pPr>
        <w:numPr>
          <w:ilvl w:val="0"/>
          <w:numId w:val="1001"/>
        </w:numPr>
        <w:pStyle w:val="Compact"/>
      </w:pPr>
      <w:r>
        <w:t xml:space="preserve">Australian Institute of Health and Welfare. (2023). “Vision Care in Australia”. Cat. no. OPH 14.</w:t>
      </w:r>
    </w:p>
    <w:p>
      <w:pPr>
        <w:numPr>
          <w:ilvl w:val="0"/>
          <w:numId w:val="1001"/>
        </w:numPr>
        <w:pStyle w:val="Compact"/>
      </w:pPr>
      <w:r>
        <w:t xml:space="preserve">New South Wales Department of Health. (2022). “Sydney Local Health District Strategic Plan”. Sydney: NSW Government.</w:t>
      </w:r>
    </w:p>
    <w:p>
      <w:pPr>
        <w:numPr>
          <w:ilvl w:val="0"/>
          <w:numId w:val="1001"/>
        </w:numPr>
        <w:pStyle w:val="Compact"/>
      </w:pPr>
      <w:r>
        <w:t xml:space="preserve">Hold, G., et al. (2021). “The impact of telehealth on ophthalmology services in metropolitan Australia.”</w:t>
      </w:r>
      <w:r>
        <w:t xml:space="preserve"> </w:t>
      </w:r>
      <w:r>
        <w:rPr>
          <w:iCs/>
          <w:i/>
        </w:rPr>
        <w:t xml:space="preserve">MJA Open</w:t>
      </w:r>
      <w:r>
        <w:t xml:space="preserve">, 3(2), 45-52.</w:t>
      </w:r>
    </w:p>
    <w:p>
      <w:pPr>
        <w:numPr>
          <w:ilvl w:val="0"/>
          <w:numId w:val="1001"/>
        </w:numPr>
        <w:pStyle w:val="Compact"/>
      </w:pPr>
      <w:r>
        <w:t xml:space="preserve">Royal Australian and New Zealand College of Ophthalmologists. (2023). “Clinical Guidelines for the Management of Age-Related Macular Degeneration”. Sydney: RANZCO.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Australia: A Focus on Sydney's Healthcare Ecosystem</dc:title>
  <dc:creator/>
  <dc:language>en</dc:language>
  <cp:keywords/>
  <dcterms:created xsi:type="dcterms:W3CDTF">2026-07-29T18:57:57Z</dcterms:created>
  <dcterms:modified xsi:type="dcterms:W3CDTF">2026-07-29T18:57:57Z</dcterms:modified>
</cp:coreProperties>
</file>

<file path=docProps/custom.xml><?xml version="1.0" encoding="utf-8"?>
<Properties xmlns="http://schemas.openxmlformats.org/officeDocument/2006/custom-properties" xmlns:vt="http://schemas.openxmlformats.org/officeDocument/2006/docPropsVTypes"/>
</file>