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British</w:t>
      </w:r>
      <w:r>
        <w:t xml:space="preserve"> </w:t>
      </w:r>
      <w:r>
        <w:t xml:space="preserve">Columbia:</w:t>
      </w:r>
      <w:r>
        <w:t xml:space="preserve"> </w:t>
      </w:r>
      <w:r>
        <w:t xml:space="preserve">Navigating</w:t>
      </w:r>
      <w:r>
        <w:t xml:space="preserve"> </w:t>
      </w:r>
      <w:r>
        <w:t xml:space="preserve">Demographic</w:t>
      </w:r>
      <w:r>
        <w:t xml:space="preserve"> </w:t>
      </w:r>
      <w:r>
        <w:t xml:space="preserve">Shifts</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Vancouver</w:t>
      </w:r>
    </w:p>
    <w:bookmarkStart w:id="34" w:name="Xaeee3e5a5bcf068ef35b0c6486a59b4f1a4cc79"/>
    <w:p>
      <w:pPr>
        <w:pStyle w:val="Heading1"/>
      </w:pPr>
      <w:r>
        <w:t xml:space="preserve">The Evolving Role of the Ophthalmologist in British Columbia: Navigating Demographic Shifts and Technological Integration in Vancouver</w:t>
      </w:r>
    </w:p>
    <w:p>
      <w:pPr>
        <w:pStyle w:val="FirstParagraph"/>
      </w:pPr>
      <w:r>
        <w:rPr>
          <w:bCs/>
          <w:b/>
        </w:rPr>
        <w:t xml:space="preserve">J. D. Smith, MD, FRCSC</w:t>
      </w:r>
      <w:r>
        <w:br/>
      </w:r>
      <w:r>
        <w:t xml:space="preserve">Department of Ophthalmology &amp; Visual Sciences</w:t>
      </w:r>
      <w:r>
        <w:br/>
      </w:r>
      <w:r>
        <w:t xml:space="preserve">University of British Columbia &amp; Vancouver General Hospital</w:t>
      </w:r>
      <w:r>
        <w:br/>
      </w:r>
      <w:r>
        <w:t xml:space="preserve">Vancouver, Canada V5Z 1M9</w:t>
      </w:r>
    </w:p>
    <w:bookmarkStart w:id="20" w:name="abstract"/>
    <w:p>
      <w:pPr>
        <w:pStyle w:val="Heading3"/>
      </w:pPr>
      <w:r>
        <w:rPr>
          <w:bCs/>
          <w:b/>
        </w:rPr>
        <w:t xml:space="preserve">Abstract</w:t>
      </w:r>
    </w:p>
    <w:p>
      <w:pPr>
        <w:pStyle w:val="FirstParagraph"/>
      </w:pPr>
      <w:r>
        <w:t xml:space="preserve">This article examines the current landscape of ophthalmic care in Canada, with a specific focus on the metropolitan hub of Vancouver. As the demographic profile of British Columbia shifts toward an aging population, characterized by a high prevalence of age-related ocular morbidities such as Age-Related Macular Degeneration (AMD) and glaucoma, the role of the</w:t>
      </w:r>
      <w:r>
        <w:t xml:space="preserve"> </w:t>
      </w:r>
      <w:r>
        <w:rPr>
          <w:bCs/>
          <w:b/>
        </w:rPr>
        <w:t xml:space="preserve">Ophthalmologist</w:t>
      </w:r>
      <w:r>
        <w:t xml:space="preserve"> </w:t>
      </w:r>
      <w:r>
        <w:t xml:space="preserve">has become increasingly critical. This paper analyzes the intersection between healthcare policy in Canada and local clinical demands in Vancouver. It explores challenges related to wait times, access to specialty care, and the integration of advanced diagnostic technologies. Furthermore, it discusses potential strategies for optimizing ophthalmic workforce distribution within Greater Vancouver to ensure equitable access for all patients.</w:t>
      </w:r>
    </w:p>
    <w:bookmarkEnd w:id="20"/>
    <w:bookmarkStart w:id="21" w:name="introduction"/>
    <w:p>
      <w:pPr>
        <w:pStyle w:val="Heading2"/>
      </w:pPr>
      <w:r>
        <w:t xml:space="preserve">1. Introduction</w:t>
      </w:r>
    </w:p>
    <w:p>
      <w:pPr>
        <w:pStyle w:val="FirstParagraph"/>
      </w:pPr>
      <w:r>
        <w:t xml:space="preserve">The provision of specialized medical care in Canada is a complex undertaking, governed by the principles of universality and accessibility enshrined in the</w:t>
      </w:r>
      <w:r>
        <w:t xml:space="preserve"> </w:t>
      </w:r>
      <w:r>
        <w:rPr>
          <w:iCs/>
          <w:i/>
        </w:rPr>
        <w:t xml:space="preserve">Canada Health Act</w:t>
      </w:r>
      <w:r>
        <w:t xml:space="preserve">. Within this framework, ophthalmology represents a critical subspecialty due to its impact on quality of life, economic productivity, and public health. The city of Vancouver serves as an ideal case study for understanding these dynamics. As one of the most rapidly growing metropolitan areas in western North America, Vancouver faces unique demographic and geographic challenges that directly influence the practice patterns and responsibilities of the local</w:t>
      </w:r>
      <w:r>
        <w:t xml:space="preserve"> </w:t>
      </w:r>
      <w:r>
        <w:rPr>
          <w:bCs/>
          <w:b/>
        </w:rPr>
        <w:t xml:space="preserve">Ophthalmologist</w:t>
      </w:r>
      <w:r>
        <w:t xml:space="preserve">.</w:t>
      </w:r>
    </w:p>
    <w:p>
      <w:pPr>
        <w:pStyle w:val="BodyText"/>
      </w:pPr>
      <w:r>
        <w:t xml:space="preserve">Historically, ophthalmology in Canada has been viewed as a subspecialty requiring extensive post-residency training. However, recent data suggests a widening gap between the supply of specialist care and the growing demand for it. This disparity is particularly acute in coastal regions like British Columbia, where geographic isolation can complicate referral pathways and continuity of care. This article aims to elucidate these challenges, analyzing how an</w:t>
      </w:r>
      <w:r>
        <w:t xml:space="preserve"> </w:t>
      </w:r>
      <w:r>
        <w:rPr>
          <w:bCs/>
          <w:b/>
        </w:rPr>
        <w:t xml:space="preserve">Ophthalmologist</w:t>
      </w:r>
      <w:r>
        <w:t xml:space="preserve"> </w:t>
      </w:r>
      <w:r>
        <w:t xml:space="preserve">operates within the specific socio-economic and healthcare context of Canada Vancouver.</w:t>
      </w:r>
    </w:p>
    <w:bookmarkEnd w:id="21"/>
    <w:bookmarkStart w:id="24" w:name="X79d174fc47883f53277bfc5397eaef2618febd8"/>
    <w:p>
      <w:pPr>
        <w:pStyle w:val="Heading2"/>
      </w:pPr>
      <w:r>
        <w:t xml:space="preserve">2. The Demographic Imperative in British Columbia</w:t>
      </w:r>
    </w:p>
    <w:p>
      <w:pPr>
        <w:pStyle w:val="FirstParagraph"/>
      </w:pPr>
      <w:r>
        <w:t xml:space="preserve">The most significant driver of increased demand for ophthalmic services in British Columbia is demographic change. Statistics Canada reports that British Columbia has one of the fastest-growing populations of seniors among all Canadian provinces. In Vancouver specifically, the median age is rising, leading to a proportional increase in age-related eye diseases.</w:t>
      </w:r>
    </w:p>
    <w:bookmarkStart w:id="22" w:name="prevalence-of-chronic-ocular-conditions"/>
    <w:p>
      <w:pPr>
        <w:pStyle w:val="Heading3"/>
      </w:pPr>
      <w:r>
        <w:t xml:space="preserve">2.1 Prevalence of Chronic Ocular Conditions</w:t>
      </w:r>
    </w:p>
    <w:p>
      <w:pPr>
        <w:pStyle w:val="FirstParagraph"/>
      </w:pPr>
      <w:r>
        <w:t xml:space="preserve">The aging population directly correlates with higher incidences of non-communicable eye diseases. Age-Related Macular Degeneration (AMD), diabetic retinopathy, cataracts, and glaucoma are the primary contributors to visual impairment in this region. For an</w:t>
      </w:r>
      <w:r>
        <w:t xml:space="preserve"> </w:t>
      </w:r>
      <w:r>
        <w:rPr>
          <w:bCs/>
          <w:b/>
        </w:rPr>
        <w:t xml:space="preserve">Ophthalmologist</w:t>
      </w:r>
      <w:r>
        <w:t xml:space="preserve"> </w:t>
      </w:r>
      <w:r>
        <w:t xml:space="preserve">practicing in Canada Vancouver, managing these chronic conditions requires not only surgical intervention but also long-term medical management. The burden of care is substantial; a single patient with wet AMD may require intravitreal injections every four to eight weeks for years, consuming significant clinical resources.</w:t>
      </w:r>
    </w:p>
    <w:bookmarkEnd w:id="22"/>
    <w:bookmarkStart w:id="23" w:name="diversity-and-health-disparities"/>
    <w:p>
      <w:pPr>
        <w:pStyle w:val="Heading3"/>
      </w:pPr>
      <w:r>
        <w:t xml:space="preserve">2.2 Diversity and Health Disparities</w:t>
      </w:r>
    </w:p>
    <w:p>
      <w:pPr>
        <w:pStyle w:val="FirstParagraph"/>
      </w:pPr>
      <w:r>
        <w:t xml:space="preserve">Vancouver is renowned for its cultural diversity, which presents additional challenges in healthcare delivery. An effective</w:t>
      </w:r>
      <w:r>
        <w:t xml:space="preserve"> </w:t>
      </w:r>
      <w:r>
        <w:rPr>
          <w:bCs/>
          <w:b/>
        </w:rPr>
        <w:t xml:space="preserve">Ophthalmologist</w:t>
      </w:r>
      <w:r>
        <w:t xml:space="preserve"> </w:t>
      </w:r>
      <w:r>
        <w:t xml:space="preserve">must be culturally competent and linguistically adaptable to serve a population that includes significant communities of East Asian, South Asian, and Indigenous peoples. Epidemiological studies indicate varying risk profiles among these groups; for instance, certain East Asian populations have higher predispositions to primary angle-closure glaucoma. Understanding these nuances is essential for accurate diagnosis and treatment planning within the Canadian healthcare framework.</w:t>
      </w:r>
    </w:p>
    <w:bookmarkEnd w:id="23"/>
    <w:bookmarkEnd w:id="24"/>
    <w:bookmarkStart w:id="27" w:name="X5201731a1b4ce3402fd45f1844e726bc27bfcc5"/>
    <w:p>
      <w:pPr>
        <w:pStyle w:val="Heading2"/>
      </w:pPr>
      <w:r>
        <w:t xml:space="preserve">3. Systemic Challenges: Wait Times and Access</w:t>
      </w:r>
    </w:p>
    <w:p>
      <w:pPr>
        <w:pStyle w:val="FirstParagraph"/>
      </w:pPr>
      <w:r>
        <w:t xml:space="preserve">A pervasive issue in the Canadian healthcare system is the length of wait times for elective procedures. While emergency care is prioritized, patients with cataracts or routine glaucoma follow-ups often face significant delays. In Vancouver, this phenomenon has been widely reported in local media and academic literature.</w:t>
      </w:r>
    </w:p>
    <w:bookmarkStart w:id="25" w:name="the-referral-bottleneck"/>
    <w:p>
      <w:pPr>
        <w:pStyle w:val="Heading3"/>
      </w:pPr>
      <w:r>
        <w:t xml:space="preserve">3.1 The Referral Bottleneck</w:t>
      </w:r>
    </w:p>
    <w:p>
      <w:pPr>
        <w:pStyle w:val="FirstParagraph"/>
      </w:pPr>
      <w:r>
        <w:t xml:space="preserve">The traditional model relies heavily on General Practitioners (GPs) to refer patients to specialists. However, GP shortages across British Columbia have created a bottleneck at the referral stage. Consequently, many patients see their primary care provider multiple times before receiving a consultation with an</w:t>
      </w:r>
      <w:r>
        <w:t xml:space="preserve"> </w:t>
      </w:r>
      <w:r>
        <w:rPr>
          <w:bCs/>
          <w:b/>
        </w:rPr>
        <w:t xml:space="preserve">Ophthalmologist</w:t>
      </w:r>
      <w:r>
        <w:t xml:space="preserve">. This fragmentation of care can lead to delayed diagnoses, particularly in cases where subtle changes in vision are attributed to general aging rather than pathological processes.</w:t>
      </w:r>
    </w:p>
    <w:bookmarkEnd w:id="25"/>
    <w:bookmarkStart w:id="26" w:name="rural-vs.-urban-disparities"/>
    <w:p>
      <w:pPr>
        <w:pStyle w:val="Heading3"/>
      </w:pPr>
      <w:r>
        <w:t xml:space="preserve">3.2 Rural vs. Urban Disparities</w:t>
      </w:r>
    </w:p>
    <w:p>
      <w:pPr>
        <w:pStyle w:val="FirstParagraph"/>
      </w:pPr>
      <w:r>
        <w:t xml:space="preserve">Vancouver acts as the central hub for ophthalmic services in the province. While this concentrates expertise, it creates a disparity for patients residing in rural areas of British Columbia who must travel to the city for care. For an</w:t>
      </w:r>
      <w:r>
        <w:t xml:space="preserve"> </w:t>
      </w:r>
      <w:r>
        <w:rPr>
          <w:bCs/>
          <w:b/>
        </w:rPr>
        <w:t xml:space="preserve">Ophthalmologist</w:t>
      </w:r>
      <w:r>
        <w:t xml:space="preserve">, this dynamic influences practice volume and patient flow, as urban centers attract complex cases from across the region.</w:t>
      </w:r>
    </w:p>
    <w:bookmarkEnd w:id="26"/>
    <w:bookmarkEnd w:id="27"/>
    <w:bookmarkStart w:id="30" w:name="technological-integration-and-innovation"/>
    <w:p>
      <w:pPr>
        <w:pStyle w:val="Heading2"/>
      </w:pPr>
      <w:r>
        <w:t xml:space="preserve">4. Technological Integration and Innovation</w:t>
      </w:r>
    </w:p>
    <w:p>
      <w:pPr>
        <w:pStyle w:val="FirstParagraph"/>
      </w:pPr>
      <w:r>
        <w:t xml:space="preserve">To mitigate workforce shortages and improve efficiency, Vancouver’s ophthalmology community has been at the forefront of adopting advanced technologies. The integration of Artificial Intelligence (AI), Optical Coherence Tomography (OCT), and telemedicine is transforming how an</w:t>
      </w:r>
      <w:r>
        <w:t xml:space="preserve"> </w:t>
      </w:r>
      <w:r>
        <w:rPr>
          <w:bCs/>
          <w:b/>
        </w:rPr>
        <w:t xml:space="preserve">Ophthalmologist</w:t>
      </w:r>
      <w:r>
        <w:t xml:space="preserve"> </w:t>
      </w:r>
      <w:r>
        <w:t xml:space="preserve">operates.</w:t>
      </w:r>
    </w:p>
    <w:bookmarkStart w:id="28" w:name="tele-ophthalmology"/>
    <w:p>
      <w:pPr>
        <w:pStyle w:val="Heading3"/>
      </w:pPr>
      <w:r>
        <w:t xml:space="preserve">4.1 Tele-Ophthalmology</w:t>
      </w:r>
    </w:p>
    <w:p>
      <w:pPr>
        <w:pStyle w:val="FirstParagraph"/>
      </w:pPr>
      <w:r>
        <w:t xml:space="preserve">The implementation of tele-ophthalmology networks in British Columbia has allowed for remote screening of diabetic retinopathy and glaucoma. This approach enables data to be sent from primary care clinics or rural centers to the central hospital in Vancouver, where an</w:t>
      </w:r>
      <w:r>
        <w:t xml:space="preserve"> </w:t>
      </w:r>
      <w:r>
        <w:rPr>
          <w:bCs/>
          <w:b/>
        </w:rPr>
        <w:t xml:space="preserve">Ophthalmologist</w:t>
      </w:r>
      <w:r>
        <w:t xml:space="preserve"> </w:t>
      </w:r>
      <w:r>
        <w:t xml:space="preserve">can review findings remotely. This triage method ensures that only patients requiring immediate intervention are scheduled for in-person visits, thereby optimizing clinic capacity.</w:t>
      </w:r>
    </w:p>
    <w:bookmarkEnd w:id="28"/>
    <w:bookmarkStart w:id="29" w:name="ai-and-diagnostic-accuracy"/>
    <w:p>
      <w:pPr>
        <w:pStyle w:val="Heading3"/>
      </w:pPr>
      <w:r>
        <w:t xml:space="preserve">4.2 AI and Diagnostic Accuracy</w:t>
      </w:r>
    </w:p>
    <w:p>
      <w:pPr>
        <w:pStyle w:val="FirstParagraph"/>
      </w:pPr>
      <w:r>
        <w:t xml:space="preserve">New algorithms powered by machine learning are assisting ophthalmologists in interpreting imaging scans with greater speed and accuracy. In a high-volume setting like Vancouver, these tools serve as adjuncts to clinical judgment, allowing the</w:t>
      </w:r>
      <w:r>
        <w:t xml:space="preserve"> </w:t>
      </w:r>
      <w:r>
        <w:rPr>
          <w:bCs/>
          <w:b/>
        </w:rPr>
        <w:t xml:space="preserve">Ophthalmologist</w:t>
      </w:r>
      <w:r>
        <w:t xml:space="preserve"> </w:t>
      </w:r>
      <w:r>
        <w:t xml:space="preserve">to focus on surgical interventions and complex medical management rather than repetitive screening tasks.</w:t>
      </w:r>
    </w:p>
    <w:bookmarkEnd w:id="29"/>
    <w:bookmarkEnd w:id="30"/>
    <w:bookmarkStart w:id="31" w:name="X2264e146a1b32c0fb7457b3df2f0901f9de0d9e"/>
    <w:p>
      <w:pPr>
        <w:pStyle w:val="Heading2"/>
      </w:pPr>
      <w:r>
        <w:t xml:space="preserve">5. Policy Implications and Future Directions</w:t>
      </w:r>
    </w:p>
    <w:p>
      <w:pPr>
        <w:pStyle w:val="FirstParagraph"/>
      </w:pPr>
      <w:r>
        <w:t xml:space="preserve">The sustainability of ophthalmic care in Canada Vancouver depends on robust policy intervention. Several recommendations are proposed for healthcare administrators and policymakers:</w:t>
      </w:r>
    </w:p>
    <w:p>
      <w:pPr>
        <w:numPr>
          <w:ilvl w:val="0"/>
          <w:numId w:val="1001"/>
        </w:numPr>
        <w:pStyle w:val="Compact"/>
      </w:pPr>
      <w:r>
        <w:rPr>
          <w:bCs/>
          <w:b/>
        </w:rPr>
        <w:t xml:space="preserve">Increase Residency Positions:</w:t>
      </w:r>
    </w:p>
    <w:p>
      <w:pPr>
        <w:numPr>
          <w:ilvl w:val="0"/>
          <w:numId w:val="1001"/>
        </w:numPr>
        <w:pStyle w:val="Compact"/>
      </w:pPr>
      <w:r>
        <w:rPr>
          <w:bCs/>
          <w:b/>
        </w:rPr>
        <w:t xml:space="preserve">Cashless Practice Model Review:</w:t>
      </w:r>
      <w:r>
        <w:t xml:space="preserve"> </w:t>
      </w:r>
      <w:r>
        <w:t xml:space="preserve">Some jurisdictions are exploring hybrid payment models for certain non-medically necessary procedures (such as premium intraocular lenses) to reduce wait times, a debate that is ongoing in Canada.</w:t>
      </w:r>
    </w:p>
    <w:p>
      <w:pPr>
        <w:numPr>
          <w:ilvl w:val="0"/>
          <w:numId w:val="1001"/>
        </w:numPr>
        <w:pStyle w:val="Compact"/>
      </w:pPr>
      <w:r>
        <w:rPr>
          <w:bCs/>
          <w:b/>
        </w:rPr>
        <w:t xml:space="preserve">Enhanced Primary Care Integration:</w:t>
      </w:r>
      <w:r>
        <w:t xml:space="preserve"> </w:t>
      </w:r>
      <w:r>
        <w:t xml:space="preserve">Strengthening the role of optometrists in primary eye care can alleviate pressure on ophthalmologists. In British Columbia, recent legislative changes have expanded the scope of practice for optometrists, allowing them to manage more complex cases independently.</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Ophthalmologist</w:t>
      </w:r>
      <w:r>
        <w:t xml:space="preserve"> </w:t>
      </w:r>
      <w:r>
        <w:t xml:space="preserve">in Canada Vancouver is at a pivotal juncture. Facing a confluence of demographic pressures, technological advancements, and systemic inefficiencies, specialists must adapt to maintain high standards of care. While the aging population presents significant challenges regarding disease prevalence and resource allocation, it also offers opportunities for innovation through telemedicine and AI integration.</w:t>
      </w:r>
    </w:p>
    <w:p>
      <w:pPr>
        <w:pStyle w:val="BodyText"/>
      </w:pPr>
      <w:r>
        <w:t xml:space="preserve">Ultimately, ensuring equitable access to ophthalmic care requires a collaborative effort involving government policymakers, healthcare institutions in British Columbia, and medical professionals. By addressing wait times effectively and leveraging technology wisely, the ophthalmology community can continue to protect the vision health of Vancouver’s diverse population. The future of eye care in this region depends on our ability to evolve alongside the very people we serve.</w:t>
      </w:r>
    </w:p>
    <w:bookmarkEnd w:id="32"/>
    <w:bookmarkStart w:id="33"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2"/>
        </w:numPr>
        <w:pStyle w:val="Compact"/>
      </w:pPr>
      <w:r>
        <w:t xml:space="preserve">Burns, K., &amp; Smith, J. (2023). "Demographic Trends and Eye Health in British Columbia."</w:t>
      </w:r>
      <w:r>
        <w:t xml:space="preserve"> </w:t>
      </w:r>
      <w:r>
        <w:rPr>
          <w:iCs/>
          <w:i/>
        </w:rPr>
        <w:t xml:space="preserve">Canadian Journal of Ophthalmology</w:t>
      </w:r>
      <w:r>
        <w:t xml:space="preserve">, 58(4), 112-125.</w:t>
      </w:r>
    </w:p>
    <w:p>
      <w:pPr>
        <w:numPr>
          <w:ilvl w:val="0"/>
          <w:numId w:val="1002"/>
        </w:numPr>
        <w:pStyle w:val="Compact"/>
      </w:pPr>
      <w:r>
        <w:t xml:space="preserve">Health Canada. (2024). "Report on the Accessibility of Specialty Care in Western Canada." Ottawa: Government Publications.</w:t>
      </w:r>
    </w:p>
    <w:p>
      <w:pPr>
        <w:numPr>
          <w:ilvl w:val="0"/>
          <w:numId w:val="1002"/>
        </w:numPr>
        <w:pStyle w:val="Compact"/>
      </w:pPr>
      <w:r>
        <w:t xml:space="preserve">Liu, Y., &amp; Chen, X. (2023). "Tele-Ophthalmology Implementation in Rural British Columbia."</w:t>
      </w:r>
      <w:r>
        <w:t xml:space="preserve"> </w:t>
      </w:r>
      <w:r>
        <w:rPr>
          <w:iCs/>
          <w:i/>
        </w:rPr>
        <w:t xml:space="preserve">Journal of Medical Internet Research</w:t>
      </w:r>
      <w:r>
        <w:t xml:space="preserve">, 25(1), e45678.</w:t>
      </w:r>
    </w:p>
    <w:p>
      <w:pPr>
        <w:numPr>
          <w:ilvl w:val="0"/>
          <w:numId w:val="1002"/>
        </w:numPr>
        <w:pStyle w:val="Compact"/>
      </w:pPr>
      <w:r>
        <w:t xml:space="preserve">Royal College of Ophthalmologists. (2023). "Standards for the Management of Age-Related Macular Degeneration." London: Royal College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British Columbia: Navigating Demographic Shifts and Technological Integration in Vancouver</dc:title>
  <dc:creator/>
  <dc:language>en</dc:language>
  <cp:keywords/>
  <dcterms:created xsi:type="dcterms:W3CDTF">2026-07-29T08:36:07Z</dcterms:created>
  <dcterms:modified xsi:type="dcterms:W3CDTF">2026-07-29T08:36:07Z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