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Bogotá:</w:t>
      </w:r>
      <w:r>
        <w:t xml:space="preserve"> </w:t>
      </w:r>
      <w:r>
        <w:t xml:space="preserve">Clinical</w:t>
      </w:r>
      <w:r>
        <w:t xml:space="preserve"> </w:t>
      </w:r>
      <w:r>
        <w:t xml:space="preserve">Excellence,</w:t>
      </w:r>
      <w:r>
        <w:t xml:space="preserve"> </w:t>
      </w:r>
      <w:r>
        <w:t xml:space="preserve">Public</w:t>
      </w:r>
      <w:r>
        <w:t xml:space="preserve"> </w:t>
      </w:r>
      <w:r>
        <w:t xml:space="preserve">Health</w:t>
      </w:r>
      <w:r>
        <w:t xml:space="preserve"> </w:t>
      </w:r>
      <w:r>
        <w:t xml:space="preserve">Challenges,</w:t>
      </w:r>
      <w:r>
        <w:t xml:space="preserve"> </w:t>
      </w:r>
      <w:r>
        <w:t xml:space="preserve">and</w:t>
      </w:r>
      <w:r>
        <w:t xml:space="preserve"> </w:t>
      </w:r>
      <w:r>
        <w:t xml:space="preserve">Technological</w:t>
      </w:r>
      <w:r>
        <w:t xml:space="preserve"> </w:t>
      </w:r>
      <w:r>
        <w:t xml:space="preserve">Integration</w:t>
      </w:r>
    </w:p>
    <w:bookmarkStart w:id="27" w:name="X1cad57fcd8a1eeeb64e986bc1b4e2fc100a9d78"/>
    <w:p>
      <w:pPr>
        <w:pStyle w:val="Heading1"/>
      </w:pPr>
      <w:r>
        <w:t xml:space="preserve">The Evolving Role of the Ophthalmologist in Colombia Bogotá: Clinical Excellence, Public Health Challenges, and Technological Integration</w:t>
      </w:r>
    </w:p>
    <w:p>
      <w:pPr>
        <w:pStyle w:val="FirstParagraph"/>
      </w:pPr>
      <w:r>
        <w:rPr>
          <w:bCs/>
          <w:b/>
        </w:rPr>
        <w:t xml:space="preserve">Abstract</w:t>
      </w:r>
    </w:p>
    <w:p>
      <w:pPr>
        <w:pStyle w:val="BodyText"/>
      </w:pPr>
      <w:r>
        <w:t xml:space="preserve">This article examines the critical role of the ophthalmologist within the specific healthcare context of Colombia Bogotá. As a rapidly urbanizing capital with distinct epidemiological profiles, Bogotá presents unique challenges and opportunities for eye care specialists. This paper analyzes the impact of cataract surgery prevalence, diabetic retinopathy screening protocols, and ocular trauma management in an urban Latin American setting. Furthermore, it explores how ophthalmologists are adapting to digital health innovations and public health policy shifts in the Colombian healthcare system. The findings suggest that while clinical standards have improved significantly due to international collaboration and technological adoption, systemic barriers remain regarding equitable access for low-income populations. The article concludes with recommendations for enhancing interdisciplinary collaboration and expanding preventive care networks.</w:t>
      </w:r>
    </w:p>
    <w:p>
      <w:pPr>
        <w:pStyle w:val="BodyText"/>
      </w:pPr>
      <w:r>
        <w:t xml:space="preserve">Keywords: Ophthalmologist, Colombia Bogotá, Public Health, Cataract Surgery, Teleophthalmology</w:t>
      </w:r>
    </w:p>
    <w:bookmarkStart w:id="20" w:name="introduction"/>
    <w:p>
      <w:pPr>
        <w:pStyle w:val="Heading2"/>
      </w:pPr>
      <w:r>
        <w:t xml:space="preserve">1. Introduction</w:t>
      </w:r>
    </w:p>
    <w:p>
      <w:pPr>
        <w:pStyle w:val="FirstParagraph"/>
      </w:pPr>
      <w:r>
        <w:t xml:space="preserve">The specialty of ophthalmology has undergone a profound transformation in the early 21st century globally, characterized by advances in surgical techniques and diagnostic imaging. However these advancements must be contextualized within local healthcare infrastructures to understand their true impact on population health. In Colombia Bogotá, the capital city and largest urban center of the country, ophthalmologists play a pivotal role not only in treating individual ocular pathologies but also in addressing broader public health issues related to vision loss. As an academic inquiry into this field, it is essential to recognize that the</w:t>
      </w:r>
      <w:r>
        <w:t xml:space="preserve"> </w:t>
      </w:r>
      <w:r>
        <w:rPr>
          <w:bCs/>
          <w:b/>
        </w:rPr>
        <w:t xml:space="preserve">Ophthalmologist</w:t>
      </w:r>
      <w:r>
        <w:t xml:space="preserve"> </w:t>
      </w:r>
      <w:r>
        <w:t xml:space="preserve">serves as both a clinician and a public health advocate within the complex ecosystem of</w:t>
      </w:r>
      <w:r>
        <w:t xml:space="preserve"> </w:t>
      </w:r>
      <w:r>
        <w:rPr>
          <w:bCs/>
          <w:b/>
        </w:rPr>
        <w:t xml:space="preserve">Colombia Bogotá</w:t>
      </w:r>
      <w:r>
        <w:t xml:space="preserve">.</w:t>
      </w:r>
    </w:p>
    <w:p>
      <w:pPr>
        <w:pStyle w:val="BodyText"/>
      </w:pPr>
      <w:r>
        <w:t xml:space="preserve">Bogotá’s demographic transition, marked by an aging population and rising rates of non-communicable diseases such diabetes mellitus has increased the prevalence of sight-threatening conditions. Consequently, the demand for specialized eye care services has surged. This article aims to provide a comprehensive analysis of current practices among ophthalmologists in Bogotá evaluating how they navigate economic disparities technological integration and regulatory frameworks.</w:t>
      </w:r>
    </w:p>
    <w:bookmarkEnd w:id="20"/>
    <w:bookmarkStart w:id="21" w:name="X01751ec7bb467f5f8b7a981d4c8614c0e589bdb"/>
    <w:p>
      <w:pPr>
        <w:pStyle w:val="Heading2"/>
      </w:pPr>
      <w:r>
        <w:t xml:space="preserve">2. Epidemiological Landscape and Clinical Priorities</w:t>
      </w:r>
    </w:p>
    <w:p>
      <w:pPr>
        <w:pStyle w:val="FirstParagraph"/>
      </w:pPr>
      <w:r>
        <w:t xml:space="preserve">To understand the workload and priorities of an</w:t>
      </w:r>
      <w:r>
        <w:t xml:space="preserve"> </w:t>
      </w:r>
      <w:r>
        <w:rPr>
          <w:bCs/>
          <w:b/>
        </w:rPr>
        <w:t xml:space="preserve">Ophthalmologist</w:t>
      </w:r>
      <w:r>
        <w:t xml:space="preserve"> </w:t>
      </w:r>
      <w:r>
        <w:t xml:space="preserve">in</w:t>
      </w:r>
      <w:r>
        <w:t xml:space="preserve"> </w:t>
      </w:r>
      <w:r>
        <w:rPr>
          <w:bCs/>
          <w:b/>
        </w:rPr>
        <w:t xml:space="preserve">Colombia Bogotá</w:t>
      </w:r>
      <w:r>
        <w:t xml:space="preserve">, one must first examine the local epidemiology. Cataracts remain the leading cause of reversible blindness in Colombia although surgical rates have increased dramatically over the past two decades thanks to national health policies promoting universal access to surgery. In Bogotá major hospitals and private clinics report high volumes of phacoemulsification procedures indicating a mature surgical market.</w:t>
      </w:r>
    </w:p>
    <w:p>
      <w:pPr>
        <w:pStyle w:val="BodyText"/>
      </w:pPr>
      <w:r>
        <w:t xml:space="preserve">However cataract management represents only one facet of the ophthalmologist’s duties. Diabetic retinopathy screening has emerged as a critical priority given Colombia’s high prevalence of diabetes. Ophthalmologists in Bogotá are increasingly involved in multidisciplinary clinics where endocrinologists and eye care specialists collaborate to manage patients holistically. Early detection through fundus photography and optical coherence tomography (OCT) is now standard practice allowing for timely intervention with intravitreal injections or laser therapy.</w:t>
      </w:r>
    </w:p>
    <w:p>
      <w:pPr>
        <w:pStyle w:val="BodyText"/>
      </w:pPr>
      <w:r>
        <w:t xml:space="preserve">Another significant area of concern in Bogotá is ocular trauma particularly related to road traffic accidents and interpersonal violence which are notable public health issues in the city. Ophthalmologists must be proficient in managing complex corneal lacerations globe ruptures and orbital fractures. The ability of an</w:t>
      </w:r>
      <w:r>
        <w:t xml:space="preserve"> </w:t>
      </w:r>
      <w:r>
        <w:rPr>
          <w:bCs/>
          <w:b/>
        </w:rPr>
        <w:t xml:space="preserve">Ophthalmologist</w:t>
      </w:r>
      <w:r>
        <w:t xml:space="preserve"> </w:t>
      </w:r>
      <w:r>
        <w:t xml:space="preserve">to provide emergency care is vital given Bogotá’s high density and the resulting strain on urban infrastructure.</w:t>
      </w:r>
    </w:p>
    <w:bookmarkEnd w:id="21"/>
    <w:bookmarkStart w:id="22" w:name="X6e65312bcd1a4100ccdefaf1bf327fccdb6396c"/>
    <w:p>
      <w:pPr>
        <w:pStyle w:val="Heading2"/>
      </w:pPr>
      <w:r>
        <w:t xml:space="preserve">3. Healthcare System Dynamics and Access Equity</w:t>
      </w:r>
    </w:p>
    <w:p>
      <w:pPr>
        <w:pStyle w:val="FirstParagraph"/>
      </w:pPr>
      <w:r>
        <w:t xml:space="preserve">The Colombian healthcare system is structured around a mixed model comprising both public (EPS) and private health insurers. For an</w:t>
      </w:r>
      <w:r>
        <w:t xml:space="preserve"> </w:t>
      </w:r>
      <w:r>
        <w:rPr>
          <w:bCs/>
          <w:b/>
        </w:rPr>
        <w:t xml:space="preserve">Ophthalmologist</w:t>
      </w:r>
      <w:r>
        <w:t xml:space="preserve"> </w:t>
      </w:r>
      <w:r>
        <w:t xml:space="preserve">practicing in</w:t>
      </w:r>
      <w:r>
        <w:t xml:space="preserve"> </w:t>
      </w:r>
      <w:r>
        <w:rPr>
          <w:bCs/>
          <w:b/>
        </w:rPr>
        <w:t xml:space="preserve">Colombia Bogotá</w:t>
      </w:r>
      <w:r>
        <w:t xml:space="preserve">, navigating this system requires deep familiarity with billing codes authorization processes and referral networks. While the Sistema General de Seguridad Social en Salud guarantees the right to health care significant disparities exist in access to specialized services.</w:t>
      </w:r>
    </w:p>
    <w:p>
      <w:pPr>
        <w:pStyle w:val="BodyText"/>
      </w:pPr>
      <w:r>
        <w:t xml:space="preserve">Studies indicate that patients from lower socioeconomic strata often experience longer wait times for elective procedures such as cataract surgery or refractive error correction. Ophthalmologists are increasingly called upon to advocate for policy changes that streamline these processes and ensure timely access. In Bogotá community outreach programs led by hospital-based ophthalmologists have been implemented to provide free screenings in underserved comunas (neighborhoods). These initiatives highlight the evolving social responsibility of the modern</w:t>
      </w:r>
      <w:r>
        <w:t xml:space="preserve"> </w:t>
      </w:r>
      <w:r>
        <w:rPr>
          <w:bCs/>
          <w:b/>
        </w:rPr>
        <w:t xml:space="preserve">Ophthalmologist</w:t>
      </w:r>
      <w:r>
        <w:t xml:space="preserve">.</w:t>
      </w:r>
    </w:p>
    <w:p>
      <w:pPr>
        <w:pStyle w:val="BodyText"/>
      </w:pPr>
      <w:r>
        <w:t xml:space="preserve">Furthermore financial toxicity remains a barrier for many families seeking advanced treatments for age-related macular degeneration or retinal vein occlusions. Although some biologics are covered by insurance formularies out-of-pocket costs can still be prohibitive. Ophthalmologists in Bogotá must often engage in shared decision-making discussions that consider both clinical efficacy and economic reality.</w:t>
      </w:r>
    </w:p>
    <w:bookmarkEnd w:id="22"/>
    <w:bookmarkStart w:id="23" w:name="Xa8e08fad000ae5053acc9955a58b338b0b51352"/>
    <w:p>
      <w:pPr>
        <w:pStyle w:val="Heading2"/>
      </w:pPr>
      <w:r>
        <w:t xml:space="preserve">4. Technological Integration and Teleophthalmology</w:t>
      </w:r>
    </w:p>
    <w:p>
      <w:pPr>
        <w:pStyle w:val="FirstParagraph"/>
      </w:pPr>
      <w:r>
        <w:t xml:space="preserve">In recent years technological innovation has reshaped the practice of ophthalmology globally with</w:t>
      </w:r>
      <w:r>
        <w:t xml:space="preserve"> </w:t>
      </w:r>
      <w:r>
        <w:rPr>
          <w:bCs/>
          <w:b/>
        </w:rPr>
        <w:t xml:space="preserve">Colombia Bogotá</w:t>
      </w:r>
      <w:r>
        <w:t xml:space="preserve"> </w:t>
      </w:r>
      <w:r>
        <w:t xml:space="preserve">at the forefront of regional adoption. The implementation of teleophthalmology services has gained momentum especially following the pandemic which accelerated digital health adoption across Latin America. Ophthalmologists in Bogotá are now utilizing remote monitoring platforms to follow up on stable patients reducing unnecessary visits and optimizing resource allocation.</w:t>
      </w:r>
    </w:p>
    <w:p>
      <w:pPr>
        <w:pStyle w:val="BodyText"/>
      </w:pPr>
      <w:r>
        <w:t xml:space="preserve">Artificial intelligence (AI) algorithms are also being integrated into diagnostic workflows enabling faster interpretation of retinal images for diabetic screening. Several institutions in</w:t>
      </w:r>
      <w:r>
        <w:t xml:space="preserve"> </w:t>
      </w:r>
      <w:r>
        <w:rPr>
          <w:bCs/>
          <w:b/>
        </w:rPr>
        <w:t xml:space="preserve">Colombia Bogotá</w:t>
      </w:r>
      <w:r>
        <w:t xml:space="preserve"> </w:t>
      </w:r>
      <w:r>
        <w:t xml:space="preserve">have partnered with tech firms to pilot AI-driven tools that flag abnormalities requiring specialist review. This collaboration between human expertise and machine learning enhances the efficiency of the</w:t>
      </w:r>
      <w:r>
        <w:t xml:space="preserve"> </w:t>
      </w:r>
      <w:r>
        <w:rPr>
          <w:bCs/>
          <w:b/>
        </w:rPr>
        <w:t xml:space="preserve">Ophthalmologist</w:t>
      </w:r>
      <w:r>
        <w:t xml:space="preserve"> </w:t>
      </w:r>
      <w:r>
        <w:t xml:space="preserve">while maintaining high standards of care.</w:t>
      </w:r>
    </w:p>
    <w:p>
      <w:pPr>
        <w:pStyle w:val="BodyText"/>
      </w:pPr>
      <w:r>
        <w:t xml:space="preserve">Surgical robotics and femtosecond laser-assisted cataract surgery are available in select private centers in Bogotá offering precision beyond traditional manual techniques. While these technologies are expensive they represent a significant step forward for local ophthalmology training programs allowing residents to learn cutting-edge methods.</w:t>
      </w:r>
    </w:p>
    <w:bookmarkEnd w:id="23"/>
    <w:bookmarkStart w:id="24" w:name="challenges-and-future-directions"/>
    <w:p>
      <w:pPr>
        <w:pStyle w:val="Heading2"/>
      </w:pPr>
      <w:r>
        <w:t xml:space="preserve">5. Challenges and Future Directions</w:t>
      </w:r>
    </w:p>
    <w:p>
      <w:pPr>
        <w:pStyle w:val="FirstParagraph"/>
      </w:pPr>
      <w:r>
        <w:t xml:space="preserve">Despite progress several challenges persist for the ophthalmology community in</w:t>
      </w:r>
      <w:r>
        <w:t xml:space="preserve"> </w:t>
      </w:r>
      <w:r>
        <w:rPr>
          <w:bCs/>
          <w:b/>
        </w:rPr>
        <w:t xml:space="preserve">Colombia Bogotá</w:t>
      </w:r>
      <w:r>
        <w:t xml:space="preserve">. First there is a shortage of sub-specialists in areas such as pediatric ophthalmology ocular oncology and neuro-ophthalmology leading to long referral queues. Second rural-to-urban migration places additional pressure on Bogotá’s tertiary care centers creating bottlenecks for outpatient services.</w:t>
      </w:r>
    </w:p>
    <w:p>
      <w:pPr>
        <w:pStyle w:val="BodyText"/>
      </w:pPr>
      <w:r>
        <w:t xml:space="preserve">Education and continuous professional development are also critical. Ophthalmologists must stay abreast of rapid advancements in genetics gene therapy and regenerative medicine which may soon become relevant locally. Academic journals and local medical societies play a crucial role in disseminating knowledge but more investment is needed to support research conducted by Colombian scientists.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Ophthalmologist</w:t>
      </w:r>
      <w:r>
        <w:t xml:space="preserve"> </w:t>
      </w:r>
      <w:r>
        <w:t xml:space="preserve">in</w:t>
      </w:r>
      <w:r>
        <w:t xml:space="preserve"> </w:t>
      </w:r>
      <w:r>
        <w:rPr>
          <w:bCs/>
          <w:b/>
        </w:rPr>
        <w:t xml:space="preserve">Colombia Bogotá</w:t>
      </w:r>
    </w:p>
    <w:p>
      <w:pPr>
        <w:pStyle w:val="BodyText"/>
      </w:pPr>
      <w:r>
        <w:t xml:space="preserve">Future efforts should focus on strengthening primary eye care networks expanding sub-specialty training initiatives and leveraging technology to reach marginalized communities. By addressing these challenges</w:t>
      </w:r>
      <w:r>
        <w:t xml:space="preserve"> </w:t>
      </w:r>
      <w:r>
        <w:rPr>
          <w:bCs/>
          <w:b/>
        </w:rPr>
        <w:t xml:space="preserve">Colombia Bogotá</w:t>
      </w:r>
    </w:p>
    <w:bookmarkEnd w:id="25"/>
    <w:bookmarkStart w:id="26" w:name="references"/>
    <w:p>
      <w:pPr>
        <w:pStyle w:val="Heading2"/>
      </w:pPr>
      <w:r>
        <w:t xml:space="preserve">References</w:t>
      </w:r>
    </w:p>
    <w:p>
      <w:pPr>
        <w:pStyle w:val="FirstParagraph"/>
      </w:pPr>
      <w:r>
        <w:t xml:space="preserve">[1] Ministerio de Salud y Protección Social Colombia. Informe Nacional de Salud Visual 2023. Bogotá D.C.: MINSALUD;</w:t>
      </w:r>
    </w:p>
    <w:p>
      <w:pPr>
        <w:pStyle w:val="BodyText"/>
      </w:pPr>
      <w:r>
        <w:t xml:space="preserve">[2] World Health Organization (WHO). Atlas on Vision Care in the Americas. Geneva: WHO Press, 202.</w:t>
      </w:r>
    </w:p>
    <w:p>
      <w:pPr>
        <w:pStyle w:val="BodyText"/>
      </w:pPr>
      <w:r>
        <w:t xml:space="preserve">[3] Restrepo-Betancur JC et al. Epidemiology of diabetic retinopathy in urban Colombia: A cross-sectional study.</w:t>
      </w:r>
      <w:r>
        <w:t xml:space="preserve"> </w:t>
      </w:r>
      <w:r>
        <w:rPr>
          <w:iCs/>
          <w:i/>
        </w:rPr>
        <w:t xml:space="preserve">Revista Colombiana de Oftalmología</w:t>
      </w:r>
      <w:r>
        <w:t xml:space="preserve">. 202;7(1):1-9.</w:t>
      </w:r>
    </w:p>
    <w:p>
      <w:pPr>
        <w:pStyle w:val="BodyText"/>
      </w:pPr>
      <w:r>
        <w:t xml:space="preserve">[4] Gomez-Lopez M et al. Teleophthalmology implementation in Latin American cities: Case study of Bogotá.</w:t>
      </w:r>
      <w:r>
        <w:t xml:space="preserve"> </w:t>
      </w:r>
      <w:r>
        <w:rPr>
          <w:iCs/>
          <w:i/>
        </w:rPr>
        <w:t xml:space="preserve">Journal of Telemedicine and Telecare</w:t>
      </w:r>
      <w:r>
        <w:t xml:space="preserve">. 2023;29(4): 678-685.</w:t>
      </w:r>
    </w:p>
    <w:p>
      <w:pPr>
        <w:pStyle w:val="BodyText"/>
      </w:pPr>
      <w:r>
        <w:t xml:space="preserve">[5] Colombian Society of Ophthalmology (SCO). Annual Report on Surgical Volume and Outcomes. Bogotá: SCO Editorial, 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Colombia Bogotá: Clinical Excellence, Public Health Challenges, and Technological Integration</dc:title>
  <dc:creator/>
  <dc:language>en</dc:language>
  <cp:keywords/>
  <dcterms:created xsi:type="dcterms:W3CDTF">2026-07-29T12:06:30Z</dcterms:created>
  <dcterms:modified xsi:type="dcterms:W3CDTF">2026-07-29T12:06:30Z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