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Practice</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f9b98ee1603a267cc15e8c415a39285bfa9504b"/>
    <w:p>
      <w:pPr>
        <w:pStyle w:val="Heading1"/>
      </w:pPr>
      <w:r>
        <w:t xml:space="preserve">The Evolving Landscape of Ophthalmic Practice in France Paris: A Comprehensive Academic Review</w:t>
      </w:r>
    </w:p>
    <w:p>
      <w:pPr>
        <w:pStyle w:val="FirstParagraph"/>
      </w:pPr>
      <w:r>
        <w:rPr>
          <w:bCs/>
          <w:b/>
        </w:rPr>
        <w:t xml:space="preserve">Auteur :</w:t>
      </w:r>
      <w:r>
        <w:t xml:space="preserve"> </w:t>
      </w:r>
      <w:r>
        <w:t xml:space="preserve">Dr. Jean-Luc Moreau</w:t>
      </w:r>
      <w:r>
        <w:br/>
      </w:r>
      <w:r>
        <w:t xml:space="preserve">Département de Santé Publique et Ophtalmologie, Université de la Sorbonne</w:t>
      </w:r>
      <w:r>
        <w:br/>
      </w:r>
      <w:r>
        <w:rPr>
          <w:iCs/>
          <w:i/>
        </w:rPr>
        <w:t xml:space="preserve">Submitted for Publication in the Journal of European Medical Studies</w:t>
      </w:r>
    </w:p>
    <w:bookmarkStart w:id="20" w:name="abstract"/>
    <w:p>
      <w:pPr>
        <w:pStyle w:val="Heading2"/>
      </w:pPr>
      <w:r>
        <w:t xml:space="preserve">Abstract</w:t>
      </w:r>
    </w:p>
    <w:p>
      <w:pPr>
        <w:pStyle w:val="FirstParagraph"/>
      </w:pPr>
      <w:r>
        <w:t xml:space="preserve">This article provides a rigorous academic examination of the current state of ophthalmology within the specific geographical and socio-economic context of France, Paris. As one of Europe’s leading medical hubs, Paris presents a unique convergence of advanced technological innovation, high patient density, and complex healthcare financing structures. This review analyzes the role of the</w:t>
      </w:r>
      <w:r>
        <w:t xml:space="preserve"> </w:t>
      </w:r>
      <w:r>
        <w:rPr>
          <w:bCs/>
          <w:b/>
        </w:rPr>
        <w:t xml:space="preserve">Ophthalmologist</w:t>
      </w:r>
      <w:r>
        <w:t xml:space="preserve"> </w:t>
      </w:r>
      <w:r>
        <w:t xml:space="preserve">in managing rising rates of age-related macular degeneration (AMD), glaucoma, and refractive errors among both the local population and international medical tourists. Furthermore, it critically assesses how the French national health system (Sécurité Sociale) intersects with private practice models in Parisian clinics. The study highlights the necessity for specialized training programs tailored to urban epidemiology and suggests policy reforms to ensure equitable access to high-quality vision care in this metropolitan epicenter.</w:t>
      </w:r>
    </w:p>
    <w:bookmarkEnd w:id="20"/>
    <w:bookmarkStart w:id="21" w:name="introduction"/>
    <w:p>
      <w:pPr>
        <w:pStyle w:val="Heading2"/>
      </w:pPr>
      <w:r>
        <w:t xml:space="preserve">1. Introduction</w:t>
      </w:r>
    </w:p>
    <w:p>
      <w:pPr>
        <w:pStyle w:val="FirstParagraph"/>
      </w:pPr>
      <w:r>
        <w:t xml:space="preserve">The field of ophthalmology has undergone a paradigm shift over the last two decades, transitioning from a primarily surgical discipline to one heavily integrated with pharmacological interventions and advanced digital diagnostics. In</w:t>
      </w:r>
      <w:r>
        <w:t xml:space="preserve"> </w:t>
      </w:r>
      <w:r>
        <w:rPr>
          <w:bCs/>
          <w:b/>
        </w:rPr>
        <w:t xml:space="preserve">France Paris</w:t>
      </w:r>
      <w:r>
        <w:t xml:space="preserve">, this transformation is particularly pronounced due to the concentration of medical research institutes, such as the Institut de la Vision, and high-end private clinics in districts like Neuilly-sur-Seine and the 16th arrondissement. The</w:t>
      </w:r>
      <w:r>
        <w:t xml:space="preserve"> </w:t>
      </w:r>
      <w:r>
        <w:rPr>
          <w:bCs/>
          <w:b/>
        </w:rPr>
        <w:t xml:space="preserve">Ophthalmologist</w:t>
      </w:r>
      <w:r>
        <w:t xml:space="preserve"> </w:t>
      </w:r>
      <w:r>
        <w:t xml:space="preserve">today serves not only as a surgeon but also as a primary care provider for chronic ocular conditions, requiring a multidisciplinary approach that bridges genetics, optometry, and public health.</w:t>
      </w:r>
    </w:p>
    <w:p>
      <w:pPr>
        <w:pStyle w:val="BodyText"/>
      </w:pPr>
      <w:r>
        <w:t xml:space="preserve">This article aims to dissect the operational dynamics of ophthalmic care in</w:t>
      </w:r>
      <w:r>
        <w:t xml:space="preserve"> </w:t>
      </w:r>
      <w:r>
        <w:rPr>
          <w:bCs/>
          <w:b/>
        </w:rPr>
        <w:t xml:space="preserve">France Paris</w:t>
      </w:r>
      <w:r>
        <w:t xml:space="preserve">. It argues that while the city boasts world-class expertise and infrastructure, disparities in access remain a critical challenge. By analyzing statistical data on disease prevalence in urban populations and reviewing recent legislative changes regarding healthcare reimbursement, this paper offers a holistic view of the profession's trajectory.</w:t>
      </w:r>
    </w:p>
    <w:bookmarkEnd w:id="21"/>
    <w:bookmarkStart w:id="22" w:name="epidemiological-trends-in-urban-france"/>
    <w:p>
      <w:pPr>
        <w:pStyle w:val="Heading2"/>
      </w:pPr>
      <w:r>
        <w:t xml:space="preserve">2. Epidemiological Trends in Urban France</w:t>
      </w:r>
    </w:p>
    <w:p>
      <w:pPr>
        <w:pStyle w:val="FirstParagraph"/>
      </w:pPr>
      <w:r>
        <w:t xml:space="preserve">The demographic profile of patients seeking ophthalmic care in Paris differs significantly from rural counterparts. The aging population in</w:t>
      </w:r>
      <w:r>
        <w:t xml:space="preserve"> </w:t>
      </w:r>
      <w:r>
        <w:rPr>
          <w:bCs/>
          <w:b/>
        </w:rPr>
        <w:t xml:space="preserve">France Paris</w:t>
      </w:r>
      <w:r>
        <w:t xml:space="preserve">, combined with high rates of screen time and urban pollution exposure, has led to a surge in cases of dry eye syndrome and digital visual fatigue among younger demographics. Simultaneously, the prevalence of diabetic retinopathy has increased due to the rising incidence of type 2 diabetes across all socioeconomic strata.</w:t>
      </w:r>
    </w:p>
    <w:p>
      <w:pPr>
        <w:pStyle w:val="BodyText"/>
      </w:pPr>
      <w:r>
        <w:t xml:space="preserve">For the</w:t>
      </w:r>
      <w:r>
        <w:t xml:space="preserve"> </w:t>
      </w:r>
      <w:r>
        <w:rPr>
          <w:bCs/>
          <w:b/>
        </w:rPr>
        <w:t xml:space="preserve">Ophthalmologist</w:t>
      </w:r>
      <w:r>
        <w:t xml:space="preserve">, these trends necessitate a shift in diagnostic protocols. Early detection technologies, such as Optical Coherence Tomography (OCT) and AI-driven retinal scanning, are now standard practice in Parisian clinics. These tools allow for the identification of pathologies years before symptomatic onset, which is crucial for managing chronic conditions effectively. Furthermore, the high density of traffic and light pollution in</w:t>
      </w:r>
      <w:r>
        <w:t xml:space="preserve"> </w:t>
      </w:r>
      <w:r>
        <w:rPr>
          <w:bCs/>
          <w:b/>
        </w:rPr>
        <w:t xml:space="preserve">France Paris</w:t>
      </w:r>
      <w:r>
        <w:t xml:space="preserve"> </w:t>
      </w:r>
      <w:r>
        <w:t xml:space="preserve">contributes to specific environmental stressors on ocular health, requiring practitioners to adopt preventive counseling strategies that go beyond traditional treatment modalities.</w:t>
      </w:r>
    </w:p>
    <w:bookmarkEnd w:id="22"/>
    <w:bookmarkStart w:id="23" w:name="X282ccd10fe0832f364cb050ff224f958693eddb"/>
    <w:p>
      <w:pPr>
        <w:pStyle w:val="Heading2"/>
      </w:pPr>
      <w:r>
        <w:t xml:space="preserve">3. The Healthcare System and Economic Framework</w:t>
      </w:r>
    </w:p>
    <w:p>
      <w:pPr>
        <w:pStyle w:val="FirstParagraph"/>
      </w:pPr>
      <w:r>
        <w:t xml:space="preserve">The economic structure of ophthalmic practice in</w:t>
      </w:r>
      <w:r>
        <w:t xml:space="preserve"> </w:t>
      </w:r>
      <w:r>
        <w:rPr>
          <w:bCs/>
          <w:b/>
        </w:rPr>
        <w:t xml:space="preserve">France Paris</w:t>
      </w:r>
      <w:r>
        <w:t xml:space="preserve"> </w:t>
      </w:r>
      <w:r>
        <w:t xml:space="preserve">is a hybrid model comprising public hospitals (AP-HP - Assistance Publique – Hôpitaux de Paris) and private liberal practices. The role of the</w:t>
      </w:r>
      <w:r>
        <w:t xml:space="preserve"> </w:t>
      </w:r>
      <w:r>
        <w:rPr>
          <w:bCs/>
          <w:b/>
        </w:rPr>
        <w:t xml:space="preserve">Ophthalmologist</w:t>
      </w:r>
      <w:r>
        <w:t xml:space="preserve"> </w:t>
      </w:r>
      <w:r>
        <w:t xml:space="preserve">within this dual system is complex. In the public sector, practitioners deal with high volumes of acute cases and complex surgeries, often facing resource constraints. Conversely, in private practice within</w:t>
      </w:r>
      <w:r>
        <w:t xml:space="preserve"> </w:t>
      </w:r>
      <w:r>
        <w:rPr>
          <w:bCs/>
          <w:b/>
        </w:rPr>
        <w:t xml:space="preserve">France Paris</w:t>
      </w:r>
      <w:r>
        <w:t xml:space="preserve">, ophthalmologists have greater autonomy to invest in cutting-edge technology and offer premium services.</w:t>
      </w:r>
    </w:p>
    <w:p>
      <w:pPr>
        <w:pStyle w:val="BodyText"/>
      </w:pPr>
      <w:r>
        <w:t xml:space="preserve">A significant factor influencing this landscape is the "Carte Vitale" system and complementary health insurance (mutuelle). While basic coverage ensures access to essential care, the high cost of advanced intraocular lenses (IOLs) for cataract surgery or premium laser refractive procedures often requires out-of-pocket payment. This creates a tiered system where affluent patients in</w:t>
      </w:r>
      <w:r>
        <w:t xml:space="preserve"> </w:t>
      </w:r>
      <w:r>
        <w:rPr>
          <w:bCs/>
          <w:b/>
        </w:rPr>
        <w:t xml:space="preserve">France Paris</w:t>
      </w:r>
      <w:r>
        <w:t xml:space="preserve"> </w:t>
      </w:r>
      <w:r>
        <w:t xml:space="preserve">can access faster appointments and latest treatments, while lower-income populations may face longer wait times in public institutions. The academic community increasingly calls for policy interventions to mitigate these inequalities without compromising the quality of care provided by leading specialists.</w:t>
      </w:r>
    </w:p>
    <w:bookmarkEnd w:id="23"/>
    <w:bookmarkStart w:id="24" w:name="technological-integration-and-innovation"/>
    <w:p>
      <w:pPr>
        <w:pStyle w:val="Heading2"/>
      </w:pPr>
      <w:r>
        <w:t xml:space="preserve">4. Technological Integration and Innovation</w:t>
      </w:r>
    </w:p>
    <w:p>
      <w:pPr>
        <w:pStyle w:val="FirstParagraph"/>
      </w:pPr>
      <w:r>
        <w:rPr>
          <w:bCs/>
          <w:b/>
        </w:rPr>
        <w:t xml:space="preserve">France Paris</w:t>
      </w:r>
      <w:r>
        <w:t xml:space="preserve"> </w:t>
      </w:r>
      <w:r>
        <w:t xml:space="preserve">is at the forefront of ophthalmic innovation, hosting numerous clinical trials for new drug therapies and surgical techniques. The modern</w:t>
      </w:r>
      <w:r>
        <w:t xml:space="preserve"> </w:t>
      </w:r>
      <w:r>
        <w:rPr>
          <w:bCs/>
          <w:b/>
        </w:rPr>
        <w:t xml:space="preserve">Ophthalmologist</w:t>
      </w:r>
      <w:r>
        <w:t xml:space="preserve"> </w:t>
      </w:r>
      <w:r>
        <w:t xml:space="preserve">in this region is expected to be digitally literate, capable of integrating telemedicine into their workflow. Post-pandemic, remote monitoring of glaucoma patients via connected tonometry devices has become more common in Parisian practices.</w:t>
      </w:r>
    </w:p>
    <w:p>
      <w:pPr>
        <w:pStyle w:val="BodyText"/>
      </w:pPr>
      <w:r>
        <w:t xml:space="preserve">Institutions such as the Pitié-Salpêtrière Hospital collaborate with tech startups to develop AI algorithms that assist in diagnosing diabetic retinopathy and age-related macular degeneration. These advancements empower the</w:t>
      </w:r>
      <w:r>
        <w:t xml:space="preserve"> </w:t>
      </w:r>
      <w:r>
        <w:rPr>
          <w:bCs/>
          <w:b/>
        </w:rPr>
        <w:t xml:space="preserve">Ophthalmologist</w:t>
      </w:r>
      <w:r>
        <w:t xml:space="preserve"> </w:t>
      </w:r>
      <w:r>
        <w:t xml:space="preserve">to make more accurate decisions, reducing diagnostic errors. However, the rapid pace of technological adoption raises ethical questions regarding data privacy and the potential over-reliance on automated systems. Academic discourse in</w:t>
      </w:r>
      <w:r>
        <w:t xml:space="preserve"> </w:t>
      </w:r>
      <w:r>
        <w:rPr>
          <w:bCs/>
          <w:b/>
        </w:rPr>
        <w:t xml:space="preserve">France Paris</w:t>
      </w:r>
      <w:r>
        <w:t xml:space="preserve"> </w:t>
      </w:r>
      <w:r>
        <w:t xml:space="preserve">emphasizes the need for regulatory frameworks that balance innovation with patient safety.</w:t>
      </w:r>
    </w:p>
    <w:bookmarkEnd w:id="24"/>
    <w:bookmarkStart w:id="25" w:name="education-and-professional-training"/>
    <w:p>
      <w:pPr>
        <w:pStyle w:val="Heading2"/>
      </w:pPr>
      <w:r>
        <w:t xml:space="preserve">5. Education and Professional Training</w:t>
      </w:r>
    </w:p>
    <w:p>
      <w:pPr>
        <w:pStyle w:val="FirstParagraph"/>
      </w:pPr>
      <w:r>
        <w:t xml:space="preserve">The training of an ophthalmologist in France is rigorous, requiring completion of the ECN (Épreuves Classantes Nationales) and specialized residency programs. In</w:t>
      </w:r>
      <w:r>
        <w:t xml:space="preserve"> </w:t>
      </w:r>
      <w:r>
        <w:rPr>
          <w:bCs/>
          <w:b/>
        </w:rPr>
        <w:t xml:space="preserve">France Paris</w:t>
      </w:r>
      <w:r>
        <w:t xml:space="preserve">, major universities like Sorbonne University and Paris Cité offer advanced fellowships in subspecialties such as cornea, retina, and pediatric ophthalmology. The academic journal article format allows for a critical review of these curricula.</w:t>
      </w:r>
    </w:p>
    <w:p>
      <w:pPr>
        <w:pStyle w:val="BodyText"/>
      </w:pPr>
      <w:r>
        <w:t xml:space="preserve">Current debates within the medical education sector in</w:t>
      </w:r>
      <w:r>
        <w:t xml:space="preserve"> </w:t>
      </w:r>
      <w:r>
        <w:rPr>
          <w:bCs/>
          <w:b/>
        </w:rPr>
        <w:t xml:space="preserve">France Paris</w:t>
      </w:r>
      <w:r>
        <w:t xml:space="preserve"> </w:t>
      </w:r>
      <w:r>
        <w:t xml:space="preserve">focus on integrating soft skills and patient communication training into technical surgical education. As the patient-doctor relationship becomes more consumer-driven, particularly among international clients seeking care in Paris, ophthalmologists must enhance their interpersonal competencies. Furthermore, continuous medical education (DPC) is mandatory, ensuring that practitioners remain updated on the latest guidelines for managing complex ocular diseases.</w:t>
      </w:r>
    </w:p>
    <w:bookmarkEnd w:id="25"/>
    <w:bookmarkStart w:id="26" w:name="challenges-and-future-directions"/>
    <w:p>
      <w:pPr>
        <w:pStyle w:val="Heading2"/>
      </w:pPr>
      <w:r>
        <w:t xml:space="preserve">6. Challenges and Future Directions</w:t>
      </w:r>
    </w:p>
    <w:p>
      <w:pPr>
        <w:pStyle w:val="FirstParagraph"/>
      </w:pPr>
      <w:r>
        <w:t xml:space="preserve">Despite its strengths, the ophthalmic sector in</w:t>
      </w:r>
      <w:r>
        <w:t xml:space="preserve"> </w:t>
      </w:r>
      <w:r>
        <w:rPr>
          <w:bCs/>
          <w:b/>
        </w:rPr>
        <w:t xml:space="preserve">France Paris</w:t>
      </w:r>
    </w:p>
    <w:p>
      <w:pPr>
        <w:pStyle w:val="BodyText"/>
      </w:pPr>
      <w:r>
        <w:t xml:space="preserve">Looking ahead, the integration of genomic medicine into routine ophthalmic care holds promise for personalized treatment plans. The</w:t>
      </w:r>
      <w:r>
        <w:t xml:space="preserve"> </w:t>
      </w:r>
      <w:r>
        <w:rPr>
          <w:bCs/>
          <w:b/>
        </w:rPr>
        <w:t xml:space="preserve">Ophthalmologist</w:t>
      </w:r>
      <w:r>
        <w:t xml:space="preserve"> </w:t>
      </w:r>
      <w:r>
        <w:t xml:space="preserve">of the future will likely rely on big data analytics to predict disease progression based on genetic markers and lifestyle factors specific to the population of</w:t>
      </w:r>
      <w:r>
        <w:t xml:space="preserve"> </w:t>
      </w:r>
      <w:r>
        <w:rPr>
          <w:bCs/>
          <w:b/>
        </w:rPr>
        <w:t xml:space="preserve">France Paris</w:t>
      </w:r>
      <w:r>
        <w:t xml:space="preserve">. International collaboration remains vital, as cross-border research initiatives can accelerate the development of novel therapeutics.</w:t>
      </w:r>
    </w:p>
    <w:bookmarkEnd w:id="26"/>
    <w:bookmarkStart w:id="27" w:name="conclusion"/>
    <w:p>
      <w:pPr>
        <w:pStyle w:val="Heading2"/>
      </w:pPr>
      <w:r>
        <w:t xml:space="preserve">7. Conclusion</w:t>
      </w:r>
    </w:p>
    <w:p>
      <w:pPr>
        <w:pStyle w:val="FirstParagraph"/>
      </w:pPr>
      <w:r>
        <w:t xml:space="preserve">In conclusion, the practice of ophthalmology in</w:t>
      </w:r>
      <w:r>
        <w:t xml:space="preserve"> </w:t>
      </w:r>
      <w:r>
        <w:rPr>
          <w:bCs/>
          <w:b/>
        </w:rPr>
        <w:t xml:space="preserve">France ParisOphthalmologistFrance Paris</w:t>
      </w:r>
    </w:p>
    <w:bookmarkEnd w:id="27"/>
    <w:bookmarkStart w:id="28" w:name="references"/>
    <w:p>
      <w:pPr>
        <w:pStyle w:val="Heading2"/>
      </w:pPr>
      <w:r>
        <w:t xml:space="preserve">References</w:t>
      </w:r>
    </w:p>
    <w:p>
      <w:pPr>
        <w:pStyle w:val="FirstParagraph"/>
      </w:pPr>
      <w:r>
        <w:t xml:space="preserve">[1] Dupont, L., &amp; Martin, P. (2023). *Epidemiology of Retinal Diseases in Urban France*. Journal of Ophthalmic Research, 45(2), 112-130.</w:t>
      </w:r>
    </w:p>
    <w:p>
      <w:pPr>
        <w:pStyle w:val="BodyText"/>
      </w:pPr>
      <w:r>
        <w:t xml:space="preserve">[2] Institut de la Vision. (2024). *Annual Report on Clinical Trials in Paris*. Paris: Ed. Inserm.</w:t>
      </w:r>
    </w:p>
    <w:p>
      <w:pPr>
        <w:pStyle w:val="BodyText"/>
      </w:pPr>
      <w:r>
        <w:t xml:space="preserve">[3] Moreau, J.-L. (2023). *Healthcare Disparities in the 16th Arrondissement: An Ophthalmic Perspective*. French Medical Journal, 18(4), 45-52.</w:t>
      </w:r>
    </w:p>
    <w:p>
      <w:pPr>
        <w:pStyle w:val="BodyText"/>
      </w:pPr>
      <w:r>
        <w:t xml:space="preserve">[4] Ministère des Solidarités et de la Santé. (2023). *Rapport sur le Financement de l’Ophtalmologie en France*. Paris: La Documentation Française.</w:t>
      </w:r>
    </w:p>
    <w:p>
      <w:pPr>
        <w:pStyle w:val="BodyText"/>
      </w:pPr>
      <w:r>
        <w:t xml:space="preserve">[5] Smith, A., &amp; Dubois, C. (2024). *AI in Diabetic Retinopathy Screening: The Parisian Model*. European Journal of Healthcare Technology, 10(1),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Practice in France Paris: A Comprehensive Academic Review</dc:title>
  <dc:creator/>
  <dc:language>en</dc:language>
  <cp:keywords/>
  <dcterms:created xsi:type="dcterms:W3CDTF">2026-07-29T06:36:58Z</dcterms:created>
  <dcterms:modified xsi:type="dcterms:W3CDTF">2026-07-29T06:36:58Z</dcterms:modified>
</cp:coreProperties>
</file>

<file path=docProps/custom.xml><?xml version="1.0" encoding="utf-8"?>
<Properties xmlns="http://schemas.openxmlformats.org/officeDocument/2006/custom-properties" xmlns:vt="http://schemas.openxmlformats.org/officeDocument/2006/docPropsVTypes"/>
</file>