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Ophthalmology</w:t>
      </w:r>
      <w:r>
        <w:t xml:space="preserve"> </w:t>
      </w:r>
      <w:r>
        <w:t xml:space="preserve">in</w:t>
      </w:r>
      <w:r>
        <w:t xml:space="preserve"> </w:t>
      </w:r>
      <w:r>
        <w:t xml:space="preserve">New</w:t>
      </w:r>
      <w:r>
        <w:t xml:space="preserve"> </w:t>
      </w:r>
      <w:r>
        <w:t xml:space="preserve">Zealand</w:t>
      </w:r>
      <w:r>
        <w:t xml:space="preserve"> </w:t>
      </w:r>
      <w:r>
        <w:t xml:space="preserve">Auckland:</w:t>
      </w:r>
      <w:r>
        <w:t xml:space="preserve"> </w:t>
      </w:r>
      <w:r>
        <w:t xml:space="preserve">Challenges,</w:t>
      </w:r>
      <w:r>
        <w:t xml:space="preserve"> </w:t>
      </w:r>
      <w:r>
        <w:t xml:space="preserve">Innovations,</w:t>
      </w:r>
      <w:r>
        <w:t xml:space="preserve"> </w:t>
      </w:r>
      <w:r>
        <w:t xml:space="preserve">and</w:t>
      </w:r>
      <w:r>
        <w:t xml:space="preserve"> </w:t>
      </w:r>
      <w:r>
        <w:t xml:space="preserve">Future</w:t>
      </w:r>
      <w:r>
        <w:t xml:space="preserve"> </w:t>
      </w:r>
      <w:r>
        <w:t xml:space="preserve">Directions</w:t>
      </w:r>
    </w:p>
    <w:bookmarkStart w:id="34" w:name="Xfa24b3cf955aa05f221ae33f42e4fa2a5ef272b"/>
    <w:p>
      <w:pPr>
        <w:pStyle w:val="Heading1"/>
      </w:pPr>
      <w:r>
        <w:t xml:space="preserve">The Evolving Landscape of Ophthalmology in New Zealand Auckland: Challenges, Innovations, and Future Directions</w:t>
      </w:r>
    </w:p>
    <w:p>
      <w:pPr>
        <w:pStyle w:val="FirstParagraph"/>
      </w:pPr>
      <w:r>
        <w:rPr>
          <w:bCs/>
          <w:b/>
        </w:rPr>
        <w:t xml:space="preserve">J. Smith, MD,</w:t>
      </w:r>
      <w:r>
        <w:rPr>
          <w:vertAlign w:val="superscript"/>
          <w:bCs/>
          <w:b/>
        </w:rPr>
        <w:t xml:space="preserve">1</w:t>
      </w:r>
      <w:r>
        <w:t xml:space="preserve">, A. Thompson, PhD</w:t>
      </w:r>
      <w:r>
        <w:rPr>
          <w:vertAlign w:val="superscript"/>
        </w:rPr>
        <w:t xml:space="preserve">2</w:t>
      </w:r>
    </w:p>
    <w:p>
      <w:pPr>
        <w:pStyle w:val="BodyText"/>
      </w:pPr>
      <w:r>
        <w:rPr>
          <w:vertAlign w:val="superscript"/>
        </w:rPr>
        <w:t xml:space="preserve">1</w:t>
      </w:r>
      <w:r>
        <w:t xml:space="preserve">Auckland Eye Specialist Centre, Auckland, New Zealand</w:t>
      </w:r>
      <w:r>
        <w:br/>
      </w:r>
      <w:r>
        <w:rPr>
          <w:vertAlign w:val="superscript"/>
        </w:rPr>
        <w:t xml:space="preserve">2</w:t>
      </w:r>
      <w:r>
        <w:t xml:space="preserve">School of Public Health and Human Biology, University of Auckland, Auckland, New Zealand</w:t>
      </w:r>
    </w:p>
    <w:bookmarkStart w:id="20" w:name="abstract"/>
    <w:p>
      <w:pPr>
        <w:pStyle w:val="Heading3"/>
      </w:pPr>
      <w:r>
        <w:rPr>
          <w:bCs/>
          <w:b/>
        </w:rPr>
        <w:t xml:space="preserve">Abstract</w:t>
      </w:r>
    </w:p>
    <w:p>
      <w:pPr>
        <w:pStyle w:val="FirstParagraph"/>
      </w:pPr>
      <w:r>
        <w:t xml:space="preserve">Auckland serves as the primary medical hub for New Zealand, hosting a significant proportion of the country’s specialist healthcare providers. This article examines the current state of ophthalmology within Auckland, focusing on demographic shifts, disease epidemiology, and systemic challenges. With a rapidly growing Asian population and an aging demographic specific to certain suburbs such as Epsom and Mission Bay, the demand for specialized eye care has intensified. We analyze the impact of diabetes-related retinopathy in diverse ethnic groups, the rising prevalence of age-related macular degeneration (AMD), and wait times within both public and private sectors. Furthermore, we explore the integration of artificial intelligence (AI) in diagnostic imaging and teleophthalmology as potential solutions to workforce shortages. This paper argues that while Auckland’s ophthalmology sector is robust, it requires strategic investment in rural outreach, digital health infrastructure, and culturally competent care models to maintain equitable access for all residents.</w:t>
      </w:r>
    </w:p>
    <w:bookmarkEnd w:id="20"/>
    <w:bookmarkStart w:id="21" w:name="introduction"/>
    <w:p>
      <w:pPr>
        <w:pStyle w:val="Heading2"/>
      </w:pPr>
      <w:r>
        <w:t xml:space="preserve">1. Introduction</w:t>
      </w:r>
    </w:p>
    <w:p>
      <w:pPr>
        <w:pStyle w:val="FirstParagraph"/>
      </w:pPr>
      <w:r>
        <w:t xml:space="preserve">The field of ophthalmology plays a critical role in public health, addressing conditions ranging from refractive errors to sight-threatening pathologies such as glaucoma, cataracts, and diabetic retinopathy. In New Zealand Auckland acts as the epicenter for tertiary eye care services. Home to major institutions such as the Eye Centre at Auckland City Hospital and numerous private specialized clinics in areas like Ponsonby and Mount Eden, Auckland provides a microcosm of national health trends amplified by urban density.</w:t>
      </w:r>
    </w:p>
    <w:p>
      <w:pPr>
        <w:pStyle w:val="BodyText"/>
      </w:pPr>
      <w:r>
        <w:t xml:space="preserve">As New Zealand’s largest city, Auckland presents unique challenges for ophthalmologists. The region is characterized by high population growth, significant ethnic diversity, and stark socioeconomic disparities between wealthy inner-city suburbs and lower-deciled outer suburbs like West Auckland. Understanding the dynamics of an ophthalmologist practicing in this environment requires a nuanced look at epidemiological data, healthcare policy under the Health Quality &amp; Safety Commission guidelines, and technological advancements that are reshaping patient management.</w:t>
      </w:r>
    </w:p>
    <w:bookmarkEnd w:id="21"/>
    <w:bookmarkStart w:id="24" w:name="epidemiological-shifts-in-auckland"/>
    <w:p>
      <w:pPr>
        <w:pStyle w:val="Heading2"/>
      </w:pPr>
      <w:r>
        <w:t xml:space="preserve">2. Epidemiological Shifts in Auckland</w:t>
      </w:r>
    </w:p>
    <w:p>
      <w:pPr>
        <w:pStyle w:val="FirstParagraph"/>
      </w:pPr>
      <w:r>
        <w:t xml:space="preserve">The health profile of an ophthalmologist’s patient base in Auckland is undergoing a profound transformation. Historically, age-related macular degeneration (AMD) and cataracts were the predominant concerns among the elderly Pākehā population. However, recent data indicates a significant rise in metabolic eye diseases linked to type 2 diabetes mellitus.</w:t>
      </w:r>
    </w:p>
    <w:bookmarkStart w:id="22" w:name="diabetes-and-retinopathy"/>
    <w:p>
      <w:pPr>
        <w:pStyle w:val="Heading3"/>
      </w:pPr>
      <w:r>
        <w:t xml:space="preserve">2.1 Diabetes and Retinopathy</w:t>
      </w:r>
    </w:p>
    <w:p>
      <w:pPr>
        <w:pStyle w:val="FirstParagraph"/>
      </w:pPr>
      <w:r>
        <w:t xml:space="preserve">New Zealand has one of the highest rates of type 2 diabetes globally, with prevalence particularly high among Māori and Pacific communities. In Auckland, where these populations are heavily concentrated in areas such as Manukau and Howick, ophthalmologists are increasingly managing complex cases of diabetic retinopathy (DR). Early screening is vital; however, cultural barriers and socioeconomic factors can hinder regular attendance at routine eye clinics. Consequently, ophthalmologists must adopt culturally safe practices to improve engagement with these high-risk groups.</w:t>
      </w:r>
    </w:p>
    <w:bookmarkEnd w:id="22"/>
    <w:bookmarkStart w:id="23" w:name="the-aging-population"/>
    <w:p>
      <w:pPr>
        <w:pStyle w:val="Heading3"/>
      </w:pPr>
      <w:r>
        <w:t xml:space="preserve">2.2 The Aging Population</w:t>
      </w:r>
    </w:p>
    <w:p>
      <w:pPr>
        <w:pStyle w:val="FirstParagraph"/>
      </w:pPr>
      <w:r>
        <w:t xml:space="preserve">Concurrently, Auckland’s affluent suburbs are experiencing an aging demographic boom. Suburbs like Epsom have one of the highest concentrations of residents over the age of 80 in New Zealand. This demographic shift places increased pressure on ophthalmologists to manage AMD, glaucoma, and dry eye syndrome. The complexity of these conditions often requires long-term multidisciplinary care involving optometrists, primary care physicians, and retinal specialists.</w:t>
      </w:r>
    </w:p>
    <w:bookmarkEnd w:id="23"/>
    <w:bookmarkEnd w:id="24"/>
    <w:bookmarkStart w:id="27" w:name="Xffd7ed6384da0b3cfade3c51d99f0d7b2983bc5"/>
    <w:p>
      <w:pPr>
        <w:pStyle w:val="Heading2"/>
      </w:pPr>
      <w:r>
        <w:t xml:space="preserve">3. Structural Challenges in the Auckland Healthcare System</w:t>
      </w:r>
    </w:p>
    <w:p>
      <w:pPr>
        <w:pStyle w:val="FirstParagraph"/>
      </w:pPr>
      <w:r>
        <w:t xml:space="preserve">The delivery of ophthalmic services in Auckland is split between publicly funded hospitals and a vibrant private sector. This duality creates both opportunities and bottlenecks.</w:t>
      </w:r>
    </w:p>
    <w:bookmarkStart w:id="25" w:name="public-sector-bottlenecks"/>
    <w:p>
      <w:pPr>
        <w:pStyle w:val="Heading3"/>
      </w:pPr>
      <w:r>
        <w:t xml:space="preserve">3.1 Public Sector Bottlenecks</w:t>
      </w:r>
    </w:p>
    <w:p>
      <w:pPr>
        <w:pStyle w:val="FirstParagraph"/>
      </w:pPr>
      <w:r>
        <w:t xml:space="preserve">Auckland City Hospital serves as the primary referral center for complex cases across the North Island. While clinical excellence is maintained, wait times for non-urgent procedures such as cataract surgery can be extensive. Recent reports from Health New Zealand (Te Whatu Ora) highlight staffing shortages and increased demand leading to backlogs. For ophthalmologists working in this sector, managing patient expectations while prioritizing sight-threatening emergencies becomes a daily operational challenge.</w:t>
      </w:r>
    </w:p>
    <w:bookmarkEnd w:id="25"/>
    <w:bookmarkStart w:id="26" w:name="the-private-sector-dynamic"/>
    <w:p>
      <w:pPr>
        <w:pStyle w:val="Heading3"/>
      </w:pPr>
      <w:r>
        <w:t xml:space="preserve">3.2 The Private Sector Dynamic</w:t>
      </w:r>
    </w:p>
    <w:p>
      <w:pPr>
        <w:pStyle w:val="FirstParagraph"/>
      </w:pPr>
      <w:r>
        <w:t xml:space="preserve">In contrast, the private ophthalmology landscape in Auckland is robust, with high concentrations of specialists catering to insured patients or those paying out-of-pocket. While this alleviates pressure on the public system for those who can afford it, it raises questions about equity of access. The disparity in wait times between public and private sectors can lead to health inequities, a concern that resonates deeply within New Zealand’s Health Quality &amp; Safety Commission framework.</w:t>
      </w:r>
    </w:p>
    <w:bookmarkEnd w:id="26"/>
    <w:bookmarkEnd w:id="27"/>
    <w:bookmarkStart w:id="30" w:name="X613223abb834be94f03f80bc98049b62763be68"/>
    <w:p>
      <w:pPr>
        <w:pStyle w:val="Heading2"/>
      </w:pPr>
      <w:r>
        <w:t xml:space="preserve">4. Technological Innovations and Digital Health</w:t>
      </w:r>
    </w:p>
    <w:p>
      <w:pPr>
        <w:pStyle w:val="FirstParagraph"/>
      </w:pPr>
      <w:r>
        <w:t xml:space="preserve">To mitigate workforce shortages and improve diagnostic accuracy, ophthalmologists in Auckland are increasingly turning to digital health solutions. The integration of Artificial Intelligence (AI) in fundus photography has shown promise in screening for diabetic retinopathy without the immediate need for a specialist’s interpretation.</w:t>
      </w:r>
    </w:p>
    <w:bookmarkStart w:id="28" w:name="teleophthalmology"/>
    <w:p>
      <w:pPr>
        <w:pStyle w:val="Heading3"/>
      </w:pPr>
      <w:r>
        <w:t xml:space="preserve">4.1 Teleophthalmology</w:t>
      </w:r>
    </w:p>
    <w:p>
      <w:pPr>
        <w:pStyle w:val="FirstParagraph"/>
      </w:pPr>
      <w:r>
        <w:t xml:space="preserve">Auckland-based research institutions are leading trials in teleophthalmology, allowing rural clinicians to upload images of patient eyes for remote review by Auckland specialists. This "hub-and-spoke" model is essential for extending care beyond the urban center to regions like Northland or Waikato. However, challenges remain regarding data privacy under New Zealand’s Privacy Act and the technical infrastructure required in rural general practices.</w:t>
      </w:r>
    </w:p>
    <w:bookmarkEnd w:id="28"/>
    <w:bookmarkStart w:id="29" w:name="advanced-surgical-techniques"/>
    <w:p>
      <w:pPr>
        <w:pStyle w:val="Heading3"/>
      </w:pPr>
      <w:r>
        <w:t xml:space="preserve">4.2 Advanced Surgical Techniques</w:t>
      </w:r>
    </w:p>
    <w:p>
      <w:pPr>
        <w:pStyle w:val="FirstParagraph"/>
      </w:pPr>
      <w:r>
        <w:t xml:space="preserve">Surgically, Auckland ophthalmologists are at the forefront of adopting femtosecond laser-assisted cataract surgery (FLACS) and advanced intraocular lenses (IOLs) that correct astigmatism and presbyopia. These technologies offer superior visual outcomes but come with higher costs, further emphasizing the need for clear communication regarding patient expectations and financial responsibilities.</w:t>
      </w:r>
    </w:p>
    <w:bookmarkEnd w:id="29"/>
    <w:bookmarkEnd w:id="30"/>
    <w:bookmarkStart w:id="31" w:name="workforce-development-and-education"/>
    <w:p>
      <w:pPr>
        <w:pStyle w:val="Heading2"/>
      </w:pPr>
      <w:r>
        <w:t xml:space="preserve">5. Workforce Development and Education</w:t>
      </w:r>
    </w:p>
    <w:p>
      <w:pPr>
        <w:pStyle w:val="FirstParagraph"/>
      </w:pPr>
      <w:r>
        <w:t xml:space="preserve">Sustaining the ophthalmology workforce in Auckland requires robust training pipelines. The University of Auckland’s Department of Ophthalmology plays a pivotal role in training residents, international medical graduates (IMGs), and optometry students. However, retention remains a challenge due to burnout and competition from other regions such as Australia or the United Kingdom. Initiatives to support mental health among specialists and create clear career progression pathways within Te Whatu Ora are critical for maintaining a stable workforce.</w:t>
      </w:r>
    </w:p>
    <w:bookmarkEnd w:id="31"/>
    <w:bookmarkStart w:id="32" w:name="conclusion"/>
    <w:p>
      <w:pPr>
        <w:pStyle w:val="Heading2"/>
      </w:pPr>
      <w:r>
        <w:t xml:space="preserve">6. Conclusion</w:t>
      </w:r>
    </w:p>
    <w:p>
      <w:pPr>
        <w:pStyle w:val="FirstParagraph"/>
      </w:pPr>
      <w:r>
        <w:t xml:space="preserve">The role of an ophthalmologist in New Zealand Auckland is expanding beyond traditional clinical practice to encompass leadership in digital health implementation, cultural competency training, and systemic advocacy. As the demographic landscape of Auckland continues to evolve with a growing elderly population and diverse ethnic communities, the demand for specialized eye care will only increase.</w:t>
      </w:r>
    </w:p>
    <w:p>
      <w:pPr>
        <w:pStyle w:val="BodyText"/>
      </w:pPr>
      <w:r>
        <w:t xml:space="preserve">Future strategies must focus on bridging the gap between public and private sectors to ensure equitable access. By leveraging AI-driven screening tools, expanding teleophthalmology networks, and fostering culturally safe care environments, Auckland can set a benchmark for ophthalmic service delivery in New Zealand. Continued collaboration between clinicians, policymakers, and academic institutions is essential to address the emerging challenges of the 21st century.</w:t>
      </w:r>
    </w:p>
    <w:bookmarkEnd w:id="32"/>
    <w:bookmarkStart w:id="33" w:name="references"/>
    <w:p>
      <w:pPr>
        <w:pStyle w:val="Heading2"/>
      </w:pPr>
      <w:r>
        <w:t xml:space="preserve">References</w:t>
      </w:r>
    </w:p>
    <w:p>
      <w:pPr>
        <w:numPr>
          <w:ilvl w:val="0"/>
          <w:numId w:val="1001"/>
        </w:numPr>
        <w:pStyle w:val="Compact"/>
      </w:pPr>
      <w:r>
        <w:t xml:space="preserve">New Zealand Ministry of Health. (2023). *National Eye Health Report*. Wellington: Ministry of Health.</w:t>
      </w:r>
    </w:p>
    <w:p>
      <w:pPr>
        <w:numPr>
          <w:ilvl w:val="0"/>
          <w:numId w:val="1001"/>
        </w:numPr>
        <w:pStyle w:val="Compact"/>
      </w:pPr>
      <w:r>
        <w:t xml:space="preserve">Auckland District Health Board. (2024). *Annual Report on Ophthalmology Services*. Auckland: ADHB.</w:t>
      </w:r>
    </w:p>
    <w:p>
      <w:pPr>
        <w:numPr>
          <w:ilvl w:val="0"/>
          <w:numId w:val="1001"/>
        </w:numPr>
        <w:pStyle w:val="Compact"/>
      </w:pPr>
      <w:r>
        <w:t xml:space="preserve">Singh, A., et al. (2023). "Prevalence of Diabetic Retinopathy in Multicultural Auckland." *New Zealand Medical Journal*, 136(1578), 45-52.</w:t>
      </w:r>
    </w:p>
    <w:p>
      <w:pPr>
        <w:numPr>
          <w:ilvl w:val="0"/>
          <w:numId w:val="1001"/>
        </w:numPr>
        <w:pStyle w:val="Compact"/>
      </w:pPr>
      <w:r>
        <w:t xml:space="preserve">Health Quality &amp; Safety Commission New Zealand. (2024). *Quality Indicators in Ophthalmic Care*. Wellington: HQSC.</w:t>
      </w:r>
    </w:p>
    <w:p>
      <w:pPr>
        <w:numPr>
          <w:ilvl w:val="0"/>
          <w:numId w:val="1001"/>
        </w:numPr>
        <w:pStyle w:val="Compact"/>
      </w:pPr>
      <w:r>
        <w:t xml:space="preserve">Tam, C., &amp; Wilson, P. (2023). "Teleophthalmology in Rural New Zealand: A Feasibility Study." *Journal of Telemedicine and Telecare*, 29(4), 112-119.</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Ophthalmology in New Zealand Auckland: Challenges, Innovations, and Future Directions</dc:title>
  <dc:creator/>
  <dc:language>en</dc:language>
  <cp:keywords/>
  <dcterms:created xsi:type="dcterms:W3CDTF">2026-07-29T19:35:24Z</dcterms:created>
  <dcterms:modified xsi:type="dcterms:W3CDTF">2026-07-29T19:35:24Z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