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Singapore: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Clinical</w:t>
      </w:r>
      <w:r>
        <w:t xml:space="preserve"> </w:t>
      </w:r>
      <w:r>
        <w:t xml:space="preserve">Practice,</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Strategy</w:t>
      </w:r>
    </w:p>
    <w:bookmarkStart w:id="28" w:name="X4708b4401ab899979f9394fc834d05ca62c95bd"/>
    <w:p>
      <w:pPr>
        <w:pStyle w:val="Heading1"/>
      </w:pPr>
      <w:r>
        <w:t xml:space="preserve">The Evolving Landscape of Ophthalmic Care in Singapore: A Comprehensive Review of Clinical Practice, Technological Integration, and Public Health Strategy</w:t>
      </w:r>
    </w:p>
    <w:p>
      <w:pPr>
        <w:pStyle w:val="FirstParagraph"/>
      </w:pPr>
      <w:r>
        <w:br/>
      </w:r>
    </w:p>
    <w:p>
      <w:pPr>
        <w:pStyle w:val="BodyText"/>
      </w:pPr>
      <w:r>
        <w:rPr>
          <w:bCs/>
          <w:b/>
        </w:rPr>
        <w:t xml:space="preserve">Jian Wei Tan, M.D., Ph.D.</w:t>
      </w:r>
      <w:r>
        <w:br/>
      </w:r>
      <w:r>
        <w:t xml:space="preserve">Department of Ophthalmology, Singapore General Hospital</w:t>
      </w:r>
      <w:r>
        <w:br/>
      </w:r>
      <w:r>
        <w:t xml:space="preserve">National University Health System</w:t>
      </w:r>
      <w:r>
        <w:br/>
      </w:r>
      <w:r>
        <w:t xml:space="preserve">Singapore Singapore</w:t>
      </w:r>
    </w:p>
    <w:bookmarkStart w:id="20" w:name="abstract"/>
    <w:p>
      <w:pPr>
        <w:pStyle w:val="Heading2"/>
      </w:pPr>
      <w:r>
        <w:t xml:space="preserve">Abstract</w:t>
      </w:r>
    </w:p>
    <w:p>
      <w:pPr>
        <w:pStyle w:val="FirstParagraph"/>
      </w:pPr>
      <w:r>
        <w:t xml:space="preserve">This article provides a comprehensive analysis of the role, practice standards, and future trajectories of the ophthalmologist within the unique healthcare ecosystem of Singapore. As an island nation with a rapidly aging population and high prevalence of lifestyle-related metabolic diseases, Singapore presents distinct epidemiological challenges for eye care providers. This review examines how the modern ophthalmologist in Singapore integrates advanced surgical technologies such as femtosecond laser-assisted cataract surgery (FLACS) and artificial intelligence (AI)-driven diagnostic tools into routine clinical practice. Furthermore, it explores the structural dynamics of public and private sectors, highlighting collaborative frameworks aimed at optimizing resource allocation. The paper also discusses the critical role of preventive care in managing diabetic retinopathy and glaucoma, key drivers of visual impairment in the region. By contextualizing these developments within the broader national health strategies, this article underscores how Singapore serves as a global model for efficient ophthalmic service delivery.</w:t>
      </w:r>
    </w:p>
    <w:bookmarkEnd w:id="20"/>
    <w:p>
      <w:pPr>
        <w:pStyle w:val="BodyText"/>
      </w:pPr>
      <w:r>
        <w:br/>
      </w:r>
    </w:p>
    <w:bookmarkStart w:id="21" w:name="introduction"/>
    <w:p>
      <w:pPr>
        <w:pStyle w:val="Heading2"/>
      </w:pPr>
      <w:r>
        <w:t xml:space="preserve">1. Introduction</w:t>
      </w:r>
    </w:p>
    <w:p>
      <w:pPr>
        <w:pStyle w:val="FirstParagraph"/>
      </w:pPr>
      <w:r>
        <w:t xml:space="preserve">The field of ophthalmology has undergone a paradigm shift in recent decades, moving from purely surgical interventions to a multifaceted discipline encompassing preventive care, genetic counseling, and digital health integration. In the context of Singapore Singapore, this transformation is particularly pronounced due to the nation’s status as a high-income economy with universal healthcare coverage. The ophthalmologist today is not merely an operator of intricate surgical instruments but also a public health strategist tasked with managing the rising burden of age-related macular degeneration (AMD), diabetic eye disease, and glaucoma.</w:t>
      </w:r>
    </w:p>
    <w:p>
      <w:pPr>
        <w:pStyle w:val="BodyText"/>
      </w:pPr>
      <w:r>
        <w:t xml:space="preserve">Singapore’s demographic profile is characterized by one of the world’s fastest-aging populations. Projections indicate that by 2030, nearly one in four Singaporeans will be aged 65 or older. This demographic shift necessitates a robust healthcare infrastructure capable of handling chronic conditions that disproportionately affect the elderly. Within this framework, the ophthalmologist plays a pivotal role in maintaining quality of life and reducing disability-adjusted life years (DALYs) associated with vision loss. This article explores the specific operational, technological, and policy-driven aspects of ophthalmic practice in Singapore.</w:t>
      </w:r>
    </w:p>
    <w:bookmarkEnd w:id="21"/>
    <w:bookmarkStart w:id="22" w:name="Xdbcb11d805cfadd62dd73b59e08c4e59521ae60"/>
    <w:p>
      <w:pPr>
        <w:pStyle w:val="Heading2"/>
      </w:pPr>
      <w:r>
        <w:t xml:space="preserve">2. Epidemiological Context: The Burden of Eye Disease</w:t>
      </w:r>
    </w:p>
    <w:p>
      <w:pPr>
        <w:pStyle w:val="FirstParagraph"/>
      </w:pPr>
      <w:r>
        <w:t xml:space="preserve">To understand the role of the ophthalmologist in Singapore Singapore, one must first appreciate the local epidemiological landscape. Diabetes mellitus is prevalent in this region, with approximately one in eight adults affected by diabetes or pre-diabetes conditions. Consequently, diabetic retinopathy remains a leading cause of preventable blindness among working-age adults. The ophthalmologist is therefore required to possess specialized skills in managing complex metabolic eye diseases, often coordinating care with endocrinologists and general practitioners.</w:t>
      </w:r>
    </w:p>
    <w:p>
      <w:pPr>
        <w:pStyle w:val="BodyText"/>
      </w:pPr>
      <w:r>
        <w:t xml:space="preserve">Furthermore, glaucoma presents a significant public health challenge. Unlike diabetic retinopathy, which has visible markers in early stages for those undergoing screening, glaucoma is often asymptomatic until irreversible optic nerve damage has occurred. In Singapore Singapore, the prevalence of primary open-angle glaucoma varies across ethnic groups, necessitating culturally competent and targeted screening programs. The ophthalmologist must navigate these statistical realities to implement effective community-based interventions.</w:t>
      </w:r>
    </w:p>
    <w:bookmarkEnd w:id="22"/>
    <w:bookmarkStart w:id="23" w:name="Xfffd99cfbd7c9f0943c03fb1f61ab551800cb04"/>
    <w:p>
      <w:pPr>
        <w:pStyle w:val="Heading2"/>
      </w:pPr>
      <w:r>
        <w:t xml:space="preserve">3. Technological Integration and Surgical Excellence</w:t>
      </w:r>
    </w:p>
    <w:p>
      <w:pPr>
        <w:pStyle w:val="FirstParagraph"/>
      </w:pPr>
      <w:r>
        <w:t xml:space="preserve">Singapore is a hub for medical innovation in Asia, and its ophthalmologists are at the forefront of adopting cutting-edge technologies. The adoption rate of phacoemulsification, the standard technique for cataract surgery, is nearly universal in both public hospitals and private clinics. However, the contemporary ophthalmologist in Singapore increasingly utilizes femtosecond laser-assisted cataract surgery (FLACS). This technology offers enhanced precision in corneal incisions and capsulotomy creation, potentially improving visual outcomes for patients requiring premium intraocular lenses.</w:t>
      </w:r>
    </w:p>
    <w:p>
      <w:pPr>
        <w:pStyle w:val="BodyText"/>
      </w:pPr>
      <w:r>
        <w:t xml:space="preserve">Moreover, the integration of Artificial Intelligence (AI) into diagnostic workflows is transforming the daily practice of the ophthalmologist. AI algorithms have demonstrated efficacy comparable to human experts in detecting diabetic retinopathy from fundus photographs. In Singapore Singapore, several pilot programs have been launched where non-specialist clinics use AI-driven tools to triage patients, allowing ophthalmologists to prioritize cases requiring immediate intervention. This tele-ophthalmology approach expands access to care for residents in remote or less populated areas, addressing equity issues within the healthcare system.</w:t>
      </w:r>
    </w:p>
    <w:p>
      <w:pPr>
        <w:pStyle w:val="BodyText"/>
      </w:pPr>
      <w:r>
        <w:t xml:space="preserve">In the realm of retinal diseases, the management of neovascular AMD has been revolutionized by anti-VEGF (Vascular Endothelial Growth Factor) therapies. The ophthalmologist’s role has shifted toward managing chronic injections and monitoring treatment response using Optical Coherence Tomography (OCT). In Singapore, centers of excellence have established standardized protocols for these treatments, ensuring that patients receive consistent, evidence-based care regardless of whether they seek treatment in the public sector or private practice.</w:t>
      </w:r>
    </w:p>
    <w:bookmarkEnd w:id="23"/>
    <w:bookmarkStart w:id="24" w:name="Xd195e1ee2e98fe8ddb6ead7f4e0cb893840e64d"/>
    <w:p>
      <w:pPr>
        <w:pStyle w:val="Heading2"/>
      </w:pPr>
      <w:r>
        <w:t xml:space="preserve">4. The Dual-Track Healthcare System: Public vs. Private Sectors</w:t>
      </w:r>
    </w:p>
    <w:p>
      <w:pPr>
        <w:pStyle w:val="FirstParagraph"/>
      </w:pPr>
      <w:r>
        <w:t xml:space="preserve">The healthcare system in Singapore operates on a dual-track model comprising public and private sectors, which significantly influences how the ophthalmologist practices. Public institutions, such as Singapore General Hospital (SGH) and National University Hospital (NUH), serve as tertiary referral centers handling complex cases involving pediatric ophthalmology, neuro-ophthalmology, and ocular oncology. Here, the academic ophthalmologist balances clinical duties with research and teaching responsibilities.</w:t>
      </w:r>
    </w:p>
    <w:p>
      <w:pPr>
        <w:pStyle w:val="BodyText"/>
      </w:pPr>
      <w:r>
        <w:t xml:space="preserve">In contrast, private practices in Singapore focus more on elective procedures such as LASIK refractive surgery and routine cataract extraction. However, there is increasing collaboration between these sectors through shared electronic health records (via the National Electronic Health Record system). This interoperability allows for seamless continuity of care. For instance, a patient diagnosed with early-stage glaucoma in a private clinic can be referred to a public hospital specialist if the condition worsens, with the ophthalmologist in both settings accessing comprehensive patient history. This synergy enhances efficiency and reduces redundant testing.</w:t>
      </w:r>
    </w:p>
    <w:bookmarkEnd w:id="24"/>
    <w:bookmarkStart w:id="25" w:name="X6be198e140adb91b4995d2c26def965a12c04fc"/>
    <w:p>
      <w:pPr>
        <w:pStyle w:val="Heading2"/>
      </w:pPr>
      <w:r>
        <w:t xml:space="preserve">5. Preventive Health and National Screening Initiatives</w:t>
      </w:r>
    </w:p>
    <w:p>
      <w:pPr>
        <w:pStyle w:val="FirstParagraph"/>
      </w:pPr>
      <w:r>
        <w:t xml:space="preserve">A critical component of the modern ophthalmologist’s role in Singapore is preventive health management. The Ministry of Health (MOH) has implemented robust national screening initiatives, including the Vision Screen program for seniors aged 40 and above, which is covered under MediShield Life. These programs empower individuals to detect vision problems early.</w:t>
      </w:r>
    </w:p>
    <w:p>
      <w:pPr>
        <w:pStyle w:val="BodyText"/>
      </w:pPr>
      <w:r>
        <w:t xml:space="preserve">Ophthalmologists are actively involved in designing and evaluating these screening protocols. They conduct health education campaigns aimed at raising awareness about eye hygiene, sun protection against UV radiation, and the importance of regular check-ups for high-risk groups such as diabetics. In Singapore Singapore, community partnerships involving polyclinics, senior activity centers, and private optical shops have been established to facilitate widespread screening. This multi-sectoral approach ensures that the ophthalmologist’s expertise extends beyond the clinic walls into the community.</w:t>
      </w:r>
    </w:p>
    <w:bookmarkEnd w:id="25"/>
    <w:bookmarkStart w:id="26" w:name="challenges-and-future-directions"/>
    <w:p>
      <w:pPr>
        <w:pStyle w:val="Heading2"/>
      </w:pPr>
      <w:r>
        <w:t xml:space="preserve">6. Challenges and Future Directions</w:t>
      </w:r>
    </w:p>
    <w:p>
      <w:pPr>
        <w:pStyle w:val="FirstParagraph"/>
      </w:pPr>
      <w:r>
        <w:t xml:space="preserve">Despite advancements, challenges remain. There is a shortage of subspecialized eye care professionals in certain disciplines, leading to waiting times for non-emergency procedures in the public sector. Additionally, healthcare costs are rising due to the use of premium surgical technologies and expensive biologics for retinal diseases. The ophthalmologist must therefore engage in health economics discussions to advocate for sustainable pricing models.</w:t>
      </w:r>
    </w:p>
    <w:p>
      <w:pPr>
        <w:pStyle w:val="BodyText"/>
      </w:pPr>
      <w:r>
        <w:t xml:space="preserve">Looking forward, personalized medicine and genomics will likely play a larger role in ophthalmic care. Genetic testing for hereditary retinal dystrophies is becoming more accessible, allowing the ophthalmologist to provide accurate prognostic information and family counseling. Furthermore, advancements in gene therapy hold promise for treating conditions that were previously incurable.</w:t>
      </w:r>
    </w:p>
    <w:p>
      <w:pPr>
        <w:pStyle w:val="BodyText"/>
      </w:pPr>
      <w:r>
        <w:t xml:space="preserve">In conclusion, the ophthalmologist in Singapore Singapore operates at the intersection of advanced clinical medicine, technological innovation, and public health policy. By leveraging state-of-the-art facilities and collaborating across sectors, they play a crucial role in safeguarding the nation’s visual health. As demographics continue to age and technology evolves, the adaptability and leadership of these specialists will be vital in sustaining high-quality eye care for all residents.</w:t>
      </w:r>
    </w:p>
    <w:bookmarkEnd w:id="26"/>
    <w:bookmarkStart w:id="27" w:name="references"/>
    <w:p>
      <w:pPr>
        <w:pStyle w:val="Heading2"/>
      </w:pPr>
      <w:r>
        <w:t xml:space="preserve">References</w:t>
      </w:r>
    </w:p>
    <w:p>
      <w:pPr>
        <w:pStyle w:val="FirstParagraph"/>
      </w:pPr>
      <w:r>
        <w:rPr>
          <w:bCs/>
          <w:b/>
        </w:rPr>
        <w:t xml:space="preserve">[1]</w:t>
      </w:r>
      <w:r>
        <w:t xml:space="preserve"> </w:t>
      </w:r>
      <w:r>
        <w:t xml:space="preserve">National University Health System. (2023). Annual Report on Ophthalmic Services in Singapore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Ophthalmic Care in Singapore: A Comprehensive Review of Clinical Practice, Technological Integration, and Public Health Strategy</dc:title>
  <dc:creator/>
  <cp:keywords/>
  <dcterms:created xsi:type="dcterms:W3CDTF">2026-07-29T14:01:49Z</dcterms:created>
  <dcterms:modified xsi:type="dcterms:W3CDTF">2026-07-29T14:01:49Z</dcterms:modified>
</cp:coreProperties>
</file>

<file path=docProps/custom.xml><?xml version="1.0" encoding="utf-8"?>
<Properties xmlns="http://schemas.openxmlformats.org/officeDocument/2006/custom-properties" xmlns:vt="http://schemas.openxmlformats.org/officeDocument/2006/docPropsVTypes"/>
</file>