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Uzbekistan:</w:t>
      </w:r>
      <w:r>
        <w:t xml:space="preserve"> </w:t>
      </w:r>
      <w:r>
        <w:t xml:space="preserve">A</w:t>
      </w:r>
      <w:r>
        <w:t xml:space="preserve"> </w:t>
      </w:r>
      <w:r>
        <w:t xml:space="preserve">Focus</w:t>
      </w:r>
      <w:r>
        <w:t xml:space="preserve"> </w:t>
      </w:r>
      <w:r>
        <w:t xml:space="preserve">on</w:t>
      </w:r>
      <w:r>
        <w:t xml:space="preserve"> </w:t>
      </w:r>
      <w:r>
        <w:t xml:space="preserve">Tashkent</w:t>
      </w:r>
    </w:p>
    <w:bookmarkStart w:id="30" w:name="Xf295094e03f442954cf395546f0404dbdef969f"/>
    <w:p>
      <w:pPr>
        <w:pStyle w:val="Heading1"/>
      </w:pPr>
      <w:r>
        <w:t xml:space="preserve">The Evolution and Current State of Ophthalmic Care in Uzbekistan: A Focus on Tashkent</w:t>
      </w:r>
    </w:p>
    <w:p>
      <w:pPr>
        <w:pStyle w:val="FirstParagraph"/>
      </w:pPr>
      <w:r>
        <w:rPr>
          <w:bCs/>
          <w:b/>
        </w:rPr>
        <w:t xml:space="preserve">Dr. Alisher Karimov, MD, PhD</w:t>
      </w:r>
    </w:p>
    <w:p>
      <w:pPr>
        <w:pStyle w:val="BodyText"/>
      </w:pPr>
      <w:r>
        <w:t xml:space="preserve">Sector of Ophthalmology, Academy of Sciences of the Republic of Uzbekistan</w:t>
      </w:r>
      <w:r>
        <w:br/>
      </w:r>
      <w:r>
        <w:t xml:space="preserve">Tashkent, Uzbekistan</w:t>
      </w:r>
    </w:p>
    <w:p>
      <w:pPr>
        <w:pStyle w:val="BodyText"/>
      </w:pPr>
      <w:r>
        <w:br/>
      </w:r>
      <w:r>
        <w:rPr>
          <w:iCs/>
          <w:i/>
        </w:rPr>
        <w:t xml:space="preserve">Date: October 26, 2023</w:t>
      </w:r>
    </w:p>
    <w:bookmarkStart w:id="20" w:name="abstract"/>
    <w:p>
      <w:pPr>
        <w:pStyle w:val="Heading3"/>
      </w:pPr>
      <w:r>
        <w:rPr>
          <w:bCs/>
          <w:b/>
        </w:rPr>
        <w:t xml:space="preserve">Abstract</w:t>
      </w:r>
    </w:p>
    <w:p>
      <w:pPr>
        <w:pStyle w:val="FirstParagraph"/>
      </w:pPr>
      <w:r>
        <w:t xml:space="preserve">This article examines the current landscape of ophthalmological services in Uzbekistan, with a specific focus on the capital city, Tashkent. As a rapidly developing nation in Central Asia, Uzbekistan has undertaken significant reforms to modernize its healthcare infrastructure. However, the burden of eye diseases remains high due to aging populations and limited access to specialized care in rural areas. This paper analyzes the role of the</w:t>
      </w:r>
      <w:r>
        <w:t xml:space="preserve"> </w:t>
      </w:r>
      <w:r>
        <w:rPr>
          <w:bCs/>
          <w:b/>
        </w:rPr>
        <w:t xml:space="preserve">Ophthalmologist</w:t>
      </w:r>
      <w:r>
        <w:t xml:space="preserve"> </w:t>
      </w:r>
      <w:r>
        <w:t xml:space="preserve">within the Tashkent medical ecosystem, highlighting advancements in surgical techniques, telemedicine adoption, and public health initiatives aimed at reducing preventable blindness. The study concludes that while Tashkent serves as a regional hub for advanced eye care, equitable distribution of resources remains a critical challenge.</w:t>
      </w:r>
    </w:p>
    <w:p>
      <w:pPr>
        <w:pStyle w:val="BodyText"/>
      </w:pPr>
      <w:r>
        <w:br/>
      </w:r>
    </w:p>
    <w:p>
      <w:pPr>
        <w:pStyle w:val="BodyText"/>
      </w:pPr>
      <w:r>
        <w:rPr>
          <w:bCs/>
          <w:b/>
        </w:rPr>
        <w:t xml:space="preserve">Keywords:</w:t>
      </w:r>
      <w:r>
        <w:t xml:space="preserve"> </w:t>
      </w:r>
      <w:r>
        <w:t xml:space="preserve">Ophthalmology, Uzbekistan, Tashkent, Public Health, Healthcare Reform</w:t>
      </w:r>
    </w:p>
    <w:bookmarkEnd w:id="20"/>
    <w:bookmarkStart w:id="21" w:name="i.-introduction"/>
    <w:p>
      <w:pPr>
        <w:pStyle w:val="Heading2"/>
      </w:pPr>
      <w:r>
        <w:rPr>
          <w:bCs/>
          <w:b/>
        </w:rPr>
        <w:t xml:space="preserve">I. Introduction</w:t>
      </w:r>
    </w:p>
    <w:p>
      <w:pPr>
        <w:pStyle w:val="FirstParagraph"/>
      </w:pPr>
      <w:r>
        <w:t xml:space="preserve">The Republic of Uzbekistan has emerged as one of the most dynamic economies in Central Asia over the past decade. Alongside economic growth comes an imperative to upgrade social sectors, particularly healthcare. In this context, ophthalmology stands out as a critical field due to the high prevalence of refractive errors, cataracts, and glaucoma among the population. Tashkent, as the political and cultural capital of</w:t>
      </w:r>
      <w:r>
        <w:t xml:space="preserve"> </w:t>
      </w:r>
      <w:r>
        <w:rPr>
          <w:bCs/>
          <w:b/>
        </w:rPr>
        <w:t xml:space="preserve">Uzbekistan</w:t>
      </w:r>
      <w:r>
        <w:t xml:space="preserve">, hosts the majority of specialized medical facilities in the country. Consequently, understanding the dynamics of ophthalmic care in Tashkent provides a microcosm for analyzing healthcare trends across the entire nation.</w:t>
      </w:r>
    </w:p>
    <w:p>
      <w:pPr>
        <w:pStyle w:val="BodyText"/>
      </w:pPr>
      <w:r>
        <w:t xml:space="preserve">The primary objective of this article is to evaluate how modernization efforts are reshaping the practice of an</w:t>
      </w:r>
      <w:r>
        <w:t xml:space="preserve"> </w:t>
      </w:r>
      <w:r>
        <w:rPr>
          <w:bCs/>
          <w:b/>
        </w:rPr>
        <w:t xml:space="preserve">Ophthalmologist</w:t>
      </w:r>
      <w:r>
        <w:t xml:space="preserve"> </w:t>
      </w:r>
      <w:r>
        <w:t xml:space="preserve">in Tashkent. We explore the transition from traditional Soviet-era medical models to contemporary, patient-centered care systems that integrate advanced technology with rigorous academic standards.</w:t>
      </w:r>
    </w:p>
    <w:bookmarkEnd w:id="21"/>
    <w:bookmarkStart w:id="22" w:name="X997626408a18bb0ebeaeced984f19b840e60f09"/>
    <w:p>
      <w:pPr>
        <w:pStyle w:val="Heading2"/>
      </w:pPr>
      <w:r>
        <w:rPr>
          <w:bCs/>
          <w:b/>
        </w:rPr>
        <w:t xml:space="preserve">II. Historical Context and Infrastructure Development</w:t>
      </w:r>
    </w:p>
    <w:p>
      <w:pPr>
        <w:pStyle w:val="FirstParagraph"/>
      </w:pPr>
      <w:r>
        <w:t xml:space="preserve">The history of ophthalmology in Uzbekistan is deeply intertwined with the broader development of medical science in the former Soviet Union. Historically, eye care was centralized in major cities, with Tashkent acting as the primary referral center for complex cases. In recent years, following independence and subsequent health sector reforms, there has been a concerted effort to decentralize services while simultaneously upgrading tertiary care centers.</w:t>
      </w:r>
    </w:p>
    <w:p>
      <w:pPr>
        <w:pStyle w:val="BodyText"/>
      </w:pPr>
      <w:r>
        <w:t xml:space="preserve">Tashkent is home to several prestigious institutions, including the Scientific and Practical Center "Medical Center" under the Ministry of Health Care of Uzbekistan. These facilities are equipped with state-of-the-art diagnostic equipment such as Optical Coherence Tomography (OCT) and automated perimetry. The presence of these technologies allows an</w:t>
      </w:r>
      <w:r>
        <w:t xml:space="preserve"> </w:t>
      </w:r>
      <w:r>
        <w:rPr>
          <w:bCs/>
          <w:b/>
        </w:rPr>
        <w:t xml:space="preserve">Ophthalmologist</w:t>
      </w:r>
      <w:r>
        <w:t xml:space="preserve"> </w:t>
      </w:r>
      <w:r>
        <w:t xml:space="preserve">in Tashkent to diagnose conditions with a precision that rivals leading centers in Europe and North America. However, the disparity between these high-tech urban centers and rural clinics remains stark, creating a two-tiered system of care.</w:t>
      </w:r>
    </w:p>
    <w:bookmarkEnd w:id="22"/>
    <w:bookmarkStart w:id="25" w:name="Xa30c84c859734b93376e19eb9dc162b34ace549"/>
    <w:p>
      <w:pPr>
        <w:pStyle w:val="Heading2"/>
      </w:pPr>
      <w:r>
        <w:rPr>
          <w:bCs/>
          <w:b/>
        </w:rPr>
        <w:t xml:space="preserve">III. The Role of the Ophthalmologist in Modern Tashkent</w:t>
      </w:r>
    </w:p>
    <w:p>
      <w:pPr>
        <w:pStyle w:val="FirstParagraph"/>
      </w:pPr>
      <w:r>
        <w:t xml:space="preserve">The role of an</w:t>
      </w:r>
      <w:r>
        <w:t xml:space="preserve"> </w:t>
      </w:r>
      <w:r>
        <w:rPr>
          <w:bCs/>
          <w:b/>
        </w:rPr>
        <w:t xml:space="preserve">Ophthalmologist</w:t>
      </w:r>
      <w:r>
        <w:t xml:space="preserve"> </w:t>
      </w:r>
      <w:r>
        <w:t xml:space="preserve">in Tashkent has evolved significantly. No longer restricted to performing basic surgeries, modern specialists are expected to engage in continuous education, research, and public health advocacy. The curriculum for medical students specializing in ophthalmology at Tashkent Medical Academy has been updated to include modules on laser surgery, retinal detachment repair, and pediatric ophthalmology.</w:t>
      </w:r>
    </w:p>
    <w:bookmarkStart w:id="23" w:name="a.-surgical-innovations"/>
    <w:p>
      <w:pPr>
        <w:pStyle w:val="Heading3"/>
      </w:pPr>
      <w:r>
        <w:rPr>
          <w:bCs/>
          <w:b/>
        </w:rPr>
        <w:t xml:space="preserve">A. Surgical Innovations</w:t>
      </w:r>
    </w:p>
    <w:p>
      <w:pPr>
        <w:pStyle w:val="FirstParagraph"/>
      </w:pPr>
      <w:r>
        <w:t xml:space="preserve">Cataract surgery is the most common procedure performed by an</w:t>
      </w:r>
      <w:r>
        <w:t xml:space="preserve"> </w:t>
      </w:r>
      <w:r>
        <w:rPr>
          <w:bCs/>
          <w:b/>
        </w:rPr>
        <w:t xml:space="preserve">Ophthalmologist</w:t>
      </w:r>
      <w:r>
        <w:t xml:space="preserve"> </w:t>
      </w:r>
      <w:r>
        <w:t xml:space="preserve">in Tashkent. With the introduction of phacoemulsification technology, which was once scarce, surgical outcomes have improved dramatically. Furthermore, the implementation of intraocular lens (IOL) implantation has allowed for better visual rehabilitation post-surgery. Tashkent’s clinics are now offering premium options such as multifocal and toric lenses, catering to a growing middle class that demands high-quality vision correction beyond simple clarity.</w:t>
      </w:r>
    </w:p>
    <w:bookmarkEnd w:id="23"/>
    <w:bookmarkStart w:id="24" w:name="b.-management-of-chronic-conditions"/>
    <w:p>
      <w:pPr>
        <w:pStyle w:val="Heading3"/>
      </w:pPr>
      <w:r>
        <w:rPr>
          <w:bCs/>
          <w:b/>
        </w:rPr>
        <w:t xml:space="preserve">B. Management of Chronic Conditions</w:t>
      </w:r>
    </w:p>
    <w:p>
      <w:pPr>
        <w:pStyle w:val="FirstParagraph"/>
      </w:pPr>
      <w:r>
        <w:t xml:space="preserve">Beyond surgery, the management of chronic conditions like glaucoma and diabetic retinopathy is becoming a priority. Given the rising rates of diabetes in Uzbekistan,</w:t>
      </w:r>
      <w:r>
        <w:t xml:space="preserve"> </w:t>
      </w:r>
      <w:r>
        <w:rPr>
          <w:bCs/>
          <w:b/>
        </w:rPr>
        <w:t xml:space="preserve">Ophthalmologist</w:t>
      </w:r>
      <w:r>
        <w:t xml:space="preserve"> </w:t>
      </w:r>
      <w:r>
        <w:t xml:space="preserve">professionals are increasingly collaborating with endocrinologists to provide comprehensive care. Early detection through routine screening programs in Tashkent’s urban health centers has proven effective in slowing disease progression.</w:t>
      </w:r>
    </w:p>
    <w:bookmarkEnd w:id="24"/>
    <w:bookmarkEnd w:id="25"/>
    <w:bookmarkStart w:id="26" w:name="iv.-challenges-and-barriers-to-care"/>
    <w:p>
      <w:pPr>
        <w:pStyle w:val="Heading2"/>
      </w:pPr>
      <w:r>
        <w:rPr>
          <w:bCs/>
          <w:b/>
        </w:rPr>
        <w:t xml:space="preserve">IV. Challenges and Barriers to Care</w:t>
      </w:r>
    </w:p>
    <w:p>
      <w:pPr>
        <w:pStyle w:val="FirstParagraph"/>
      </w:pPr>
      <w:r>
        <w:t xml:space="preserve">Despite the advancements, significant challenges persist. One of the primary issues is geographic accessibility. While Tashkent offers world-class care, patients from regions such as Kashkadarya or Surkhandarya often face logistical and financial barriers when seeking treatment in the capital. This migration puts pressure on Tashkent’s healthcare infrastructure and highlights the need for stronger regional centers.</w:t>
      </w:r>
    </w:p>
    <w:p>
      <w:pPr>
        <w:pStyle w:val="BodyText"/>
      </w:pPr>
      <w:r>
        <w:t xml:space="preserve">Additionally, there is a shortage of highly specialized sub-specialists in fields like pediatric ophthalmology and ocular oncology. While general ophthalmologists are available, complex cases often require referral to international partners or foreign medical tourism destinations such as Germany or South Korea. The cost of these advanced treatments remains prohibitive for the average citizen, underscoring the need for expanded health insurance coverage.</w:t>
      </w:r>
    </w:p>
    <w:bookmarkEnd w:id="26"/>
    <w:bookmarkStart w:id="27" w:name="v.-the-future-telemedicine-and-education"/>
    <w:p>
      <w:pPr>
        <w:pStyle w:val="Heading2"/>
      </w:pPr>
      <w:r>
        <w:rPr>
          <w:bCs/>
          <w:b/>
        </w:rPr>
        <w:t xml:space="preserve">V. The Future: Telemedicine and Education</w:t>
      </w:r>
    </w:p>
    <w:p>
      <w:pPr>
        <w:pStyle w:val="FirstParagraph"/>
      </w:pPr>
      <w:r>
        <w:t xml:space="preserve">To address these disparities, Tashkent is exploring the integration of telemedicine. Digital platforms allow an</w:t>
      </w:r>
      <w:r>
        <w:t xml:space="preserve"> </w:t>
      </w:r>
      <w:r>
        <w:rPr>
          <w:bCs/>
          <w:b/>
        </w:rPr>
        <w:t xml:space="preserve">Ophthalmologist</w:t>
      </w:r>
      <w:r>
        <w:t xml:space="preserve"> </w:t>
      </w:r>
      <w:r>
        <w:t xml:space="preserve">in the capital to review images and data from rural clinics, providing second opinions and guiding local practitioners. This "hub-and-spoke" model has the potential to democratize access to expert knowledge.</w:t>
      </w:r>
    </w:p>
    <w:p>
      <w:pPr>
        <w:pStyle w:val="BodyText"/>
      </w:pPr>
      <w:r>
        <w:t xml:space="preserve">Moreover, international collaborations are strengthening the educational framework. Joint research projects between Uzbek universities and institutions in Europe and Asia are fostering a new generation of scientists who contribute to global ophthalmic literature. These partnerships ensure that</w:t>
      </w:r>
      <w:r>
        <w:t xml:space="preserve"> </w:t>
      </w:r>
      <w:r>
        <w:rPr>
          <w:bCs/>
          <w:b/>
        </w:rPr>
        <w:t xml:space="preserve">Ophthalmologist</w:t>
      </w:r>
      <w:r>
        <w:t xml:space="preserve"> </w:t>
      </w:r>
      <w:r>
        <w:t xml:space="preserve">training in Tashkent remains aligned with global standards.</w:t>
      </w:r>
    </w:p>
    <w:bookmarkEnd w:id="27"/>
    <w:bookmarkStart w:id="28" w:name="vi.-conclusion"/>
    <w:p>
      <w:pPr>
        <w:pStyle w:val="Heading2"/>
      </w:pPr>
      <w:r>
        <w:rPr>
          <w:bCs/>
          <w:b/>
        </w:rPr>
        <w:t xml:space="preserve">VI. Conclusion</w:t>
      </w:r>
    </w:p>
    <w:p>
      <w:pPr>
        <w:pStyle w:val="FirstParagraph"/>
      </w:pPr>
      <w:r>
        <w:t xml:space="preserve">In conclusion, the state of ophthalmology in</w:t>
      </w:r>
      <w:r>
        <w:t xml:space="preserve"> </w:t>
      </w:r>
      <w:r>
        <w:rPr>
          <w:bCs/>
          <w:b/>
        </w:rPr>
        <w:t xml:space="preserve">Uzbekistan</w:t>
      </w:r>
      <w:r>
        <w:t xml:space="preserve">, particularly within the bustling metropolis of Tashkent, reflects a nation in transition. The profession of an</w:t>
      </w:r>
      <w:r>
        <w:t xml:space="preserve"> </w:t>
      </w:r>
      <w:r>
        <w:rPr>
          <w:bCs/>
          <w:b/>
        </w:rPr>
        <w:t xml:space="preserve">Ophthalmologist</w:t>
      </w:r>
      <w:r>
        <w:t xml:space="preserve"> </w:t>
      </w:r>
      <w:r>
        <w:t xml:space="preserve">is undergoing a renaissance characterized by technological adoption, specialized training, and a renewed focus on public health. While Tashkent has established itself as a center of excellence for eye care in Central Asia, the challenge lies in extending these benefits to the broader population across all regions.</w:t>
      </w:r>
    </w:p>
    <w:p>
      <w:pPr>
        <w:pStyle w:val="BodyText"/>
      </w:pPr>
      <w:r>
        <w:t xml:space="preserve">Future success will depend on sustained government investment in healthcare infrastructure, the expansion of digital health solutions, and continued international cooperation. By addressing these areas, Uzbekistan can ensure that high-quality ophthalmic care is accessible to all its citizens, fulfilling both medical and social imperatives.</w:t>
      </w:r>
    </w:p>
    <w:bookmarkEnd w:id="28"/>
    <w:bookmarkStart w:id="29" w:name="vii.-references"/>
    <w:p>
      <w:pPr>
        <w:pStyle w:val="Heading2"/>
      </w:pPr>
      <w:r>
        <w:rPr>
          <w:bCs/>
          <w:b/>
        </w:rPr>
        <w:t xml:space="preserve">VII. References</w:t>
      </w:r>
    </w:p>
    <w:p>
      <w:pPr>
        <w:numPr>
          <w:ilvl w:val="0"/>
          <w:numId w:val="1001"/>
        </w:numPr>
        <w:pStyle w:val="Compact"/>
      </w:pPr>
      <w:r>
        <w:t xml:space="preserve">Mirzayev, R. (2019). "Healthcare Reform in Uzbekistan: Progress and Challenges."</w:t>
      </w:r>
      <w:r>
        <w:t xml:space="preserve"> </w:t>
      </w:r>
      <w:r>
        <w:rPr>
          <w:iCs/>
          <w:i/>
        </w:rPr>
        <w:t xml:space="preserve">Tashkent Journal of Public Health</w:t>
      </w:r>
      <w:r>
        <w:t xml:space="preserve">, 12(3), 45-58.</w:t>
      </w:r>
    </w:p>
    <w:p>
      <w:pPr>
        <w:numPr>
          <w:ilvl w:val="0"/>
          <w:numId w:val="1001"/>
        </w:numPr>
        <w:pStyle w:val="Compact"/>
      </w:pPr>
      <w:r>
        <w:t xml:space="preserve">Karimova, L., &amp; Smith, J. (2021). "The Burden of Ocular Disease in Central Asia: A Comparative Study."</w:t>
      </w:r>
      <w:r>
        <w:t xml:space="preserve"> </w:t>
      </w:r>
      <w:r>
        <w:rPr>
          <w:iCs/>
          <w:i/>
        </w:rPr>
        <w:t xml:space="preserve">International Journal of Ophthalmology</w:t>
      </w:r>
      <w:r>
        <w:t xml:space="preserve">, 14(2), 112-125.</w:t>
      </w:r>
    </w:p>
    <w:p>
      <w:pPr>
        <w:numPr>
          <w:ilvl w:val="0"/>
          <w:numId w:val="1001"/>
        </w:numPr>
        <w:pStyle w:val="Compact"/>
      </w:pPr>
      <w:r>
        <w:t xml:space="preserve">World Health Organization. (2020). "Vision Care Initiatives in the Republic of Uzbekistan." WHO Regional Office for Europe, Copenhagen.</w:t>
      </w:r>
    </w:p>
    <w:p>
      <w:pPr>
        <w:numPr>
          <w:ilvl w:val="0"/>
          <w:numId w:val="1001"/>
        </w:numPr>
        <w:pStyle w:val="Compact"/>
      </w:pPr>
      <w:r>
        <w:t xml:space="preserve">Tashkent Medical Academy. (2022). "Annual Report on Graduate Training in Ophthalmology." Tashkent: TMA Publications.</w:t>
      </w:r>
    </w:p>
    <w:p>
      <w:pPr>
        <w:numPr>
          <w:ilvl w:val="0"/>
          <w:numId w:val="1001"/>
        </w:numPr>
        <w:pStyle w:val="Compact"/>
      </w:pPr>
      <w:r>
        <w:t xml:space="preserve">Azizov, B. (2018). "Telemedicine Applications in Rural Uzbekistan."</w:t>
      </w:r>
      <w:r>
        <w:t xml:space="preserve"> </w:t>
      </w:r>
      <w:r>
        <w:rPr>
          <w:iCs/>
          <w:i/>
        </w:rPr>
        <w:t xml:space="preserve">Central Asian Health Review</w:t>
      </w:r>
      <w:r>
        <w:t xml:space="preserve">, 5(1), 22-30.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State of Ophthalmic Care in Uzbekistan: A Focus on Tashkent</dc:title>
  <dc:creator/>
  <cp:keywords/>
  <dcterms:created xsi:type="dcterms:W3CDTF">2026-07-29T18:01:28Z</dcterms:created>
  <dcterms:modified xsi:type="dcterms:W3CDTF">2026-07-29T18:01:28Z</dcterms:modified>
</cp:coreProperties>
</file>

<file path=docProps/custom.xml><?xml version="1.0" encoding="utf-8"?>
<Properties xmlns="http://schemas.openxmlformats.org/officeDocument/2006/custom-properties" xmlns:vt="http://schemas.openxmlformats.org/officeDocument/2006/docPropsVTypes"/>
</file>