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Venezuela:</w:t>
      </w:r>
      <w:r>
        <w:t xml:space="preserve"> </w:t>
      </w:r>
      <w:r>
        <w:t xml:space="preserve">Challenges</w:t>
      </w:r>
      <w:r>
        <w:t xml:space="preserve"> </w:t>
      </w:r>
      <w:r>
        <w:t xml:space="preserve">and</w:t>
      </w:r>
      <w:r>
        <w:t xml:space="preserve"> </w:t>
      </w:r>
      <w:r>
        <w:t xml:space="preserve">Innovations</w:t>
      </w:r>
      <w:r>
        <w:t xml:space="preserve"> </w:t>
      </w:r>
      <w:r>
        <w:t xml:space="preserve">in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Landscape of Ophthalmology in Venezuela: Challenges and Innovations in Caracas</dc:title>
  <dc:creator/>
  <dc:language>en</dc:language>
  <cp:keywords/>
  <dcterms:created xsi:type="dcterms:W3CDTF">2026-07-29T11:50:57Z</dcterms:created>
  <dcterms:modified xsi:type="dcterms:W3CDTF">2026-07-29T11:50:57Z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