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Frankfurt,</w:t>
      </w:r>
      <w:r>
        <w:t xml:space="preserve"> </w:t>
      </w:r>
      <w:r>
        <w:t xml:space="preserve">Germany</w:t>
      </w:r>
    </w:p>
    <w:bookmarkStart w:id="31" w:name="X0a79152a1ae51eee017fe32420dd18161fecf42"/>
    <w:p>
      <w:pPr>
        <w:pStyle w:val="Heading1"/>
      </w:pPr>
      <w:r>
        <w:t xml:space="preserve">The Evolving Role of the Optometrist in the Healthcare Ecosystem of Frankfurt, Germany</w:t>
      </w:r>
    </w:p>
    <w:p>
      <w:pPr>
        <w:pStyle w:val="FirstParagraph"/>
      </w:pPr>
      <w:r>
        <w:rPr>
          <w:iCs/>
          <w:i/>
          <w:bCs/>
          <w:b/>
        </w:rPr>
        <w:t xml:space="preserve">Alexandra M. Weber, PhD</w:t>
      </w:r>
      <w:r>
        <w:br/>
      </w:r>
      <w:r>
        <w:t xml:space="preserve">Department of Ophthalmic Sciences</w:t>
      </w:r>
      <w:r>
        <w:br/>
      </w:r>
      <w:r>
        <w:t xml:space="preserve">Goethe University Frankfurt</w:t>
      </w:r>
      <w:r>
        <w:br/>
      </w:r>
      <w:r>
        <w:t xml:space="preserve">Frankfurt am Main, Germany 60323</w:t>
      </w:r>
      <w:r>
        <w:br/>
      </w:r>
      <w:r>
        <w:br/>
      </w:r>
      <w:r>
        <w:rPr>
          <w:iCs/>
          <w:i/>
        </w:rPr>
        <w:t xml:space="preserve">Contact: a.weber@uni-frankfurt.de</w:t>
      </w:r>
    </w:p>
    <w:bookmarkStart w:id="20" w:name="abstract"/>
    <w:p>
      <w:pPr>
        <w:pStyle w:val="Heading2"/>
      </w:pPr>
      <w:r>
        <w:t xml:space="preserve">Abstract</w:t>
      </w:r>
    </w:p>
    <w:p>
      <w:pPr>
        <w:pStyle w:val="FirstParagraph"/>
      </w:pPr>
      <w:r>
        <w:t xml:space="preserve">This article examines the professional trajectory, regulatory framework, and clinical integration of the Optometrist within the urban healthcare landscape of</w:t>
      </w:r>
      <w:r>
        <w:t xml:space="preserve"> </w:t>
      </w:r>
      <w:r>
        <w:rPr>
          <w:bCs/>
          <w:b/>
        </w:rPr>
        <w:t xml:space="preserve">Germany Frankfurt</w:t>
      </w:r>
      <w:r>
        <w:t xml:space="preserve">. While traditionally overshadowed by ophthalmologists in the continental European model, recent shifts in primary eye care demands and demographic aging have necessitated a reevaluation of vision science professionals. This study analyzes the specific socio-economic dynamics of</w:t>
      </w:r>
      <w:r>
        <w:t xml:space="preserve"> </w:t>
      </w:r>
      <w:r>
        <w:rPr>
          <w:bCs/>
          <w:b/>
        </w:rPr>
        <w:t xml:space="preserve">Germany Frankfurt</w:t>
      </w:r>
      <w:r>
        <w:t xml:space="preserve">, a metropolitan hub with high medical specialization density, and correlates these with the expanding scope of practice for Optometrists. The findings suggest that strategic collaboration between ophthalmologists and Optometrists in this region can significantly reduce diagnostic delays for systemic diseases while optimizing healthcare resource allocation.</w:t>
      </w:r>
    </w:p>
    <w:bookmarkEnd w:id="20"/>
    <w:bookmarkStart w:id="21" w:name="introduction"/>
    <w:p>
      <w:pPr>
        <w:pStyle w:val="Heading2"/>
      </w:pPr>
      <w:r>
        <w:t xml:space="preserve">1. Introduction</w:t>
      </w:r>
    </w:p>
    <w:p>
      <w:pPr>
        <w:pStyle w:val="FirstParagraph"/>
      </w:pPr>
      <w:r>
        <w:t xml:space="preserve">The landscape of eye care is undergoing a profound transformation across Europe, driven by an aging population, the rise of lifestyle-related ocular conditions such as myopia and dry eye disease, and the increasing prevalence of systemic conditions like diabetes mellitus that manifest in the retina. In this context, the role of the</w:t>
      </w:r>
      <w:r>
        <w:t xml:space="preserve"> </w:t>
      </w:r>
      <w:r>
        <w:rPr>
          <w:bCs/>
          <w:b/>
        </w:rPr>
        <w:t xml:space="preserve">Optometrist</w:t>
      </w:r>
      <w:r>
        <w:t xml:space="preserve"> </w:t>
      </w:r>
      <w:r>
        <w:t xml:space="preserve">has shifted from a mere dispenser of corrective lenses to a primary healthcare provider for visual system assessment. However, this evolution is not uniform across all nations. In Central Europe, particularly within the Federal Republic of Germany, the distinction between ophthalmology (medical doctorate) and optometry (often vocational or specialized university degree) remains a subject of ongoing academic and political debate.</w:t>
      </w:r>
    </w:p>
    <w:p>
      <w:pPr>
        <w:pStyle w:val="BodyText"/>
      </w:pPr>
      <w:r>
        <w:rPr>
          <w:bCs/>
          <w:b/>
        </w:rPr>
        <w:t xml:space="preserve">Germany Frankfurt</w:t>
      </w:r>
      <w:r>
        <w:t xml:space="preserve"> </w:t>
      </w:r>
      <w:r>
        <w:t xml:space="preserve">serves as a critical case study for this analysis. As one of Germany’s most densely populated cities and a global financial hub, Frankfurt possesses a unique healthcare infrastructure characterized by high patient volume, rapid diagnostic technology adoption, and a diverse population. The city is home to the Goethe University Hospital, one of the largest university hospitals in Europe, which sets the standard for tertiary ophthalmological care. Yet, it is within the community settings of</w:t>
      </w:r>
      <w:r>
        <w:t xml:space="preserve"> </w:t>
      </w:r>
      <w:r>
        <w:rPr>
          <w:bCs/>
          <w:b/>
        </w:rPr>
        <w:t xml:space="preserve">Germany Frankfurt</w:t>
      </w:r>
      <w:r>
        <w:t xml:space="preserve"> </w:t>
      </w:r>
      <w:r>
        <w:t xml:space="preserve">that the primary eye health needs of residents are first addressed. This article argues that integrating specialized Optometrists into this ecosystem offers a viable solution to systemic bottlenecks in public healthcare.</w:t>
      </w:r>
    </w:p>
    <w:bookmarkEnd w:id="21"/>
    <w:bookmarkStart w:id="22" w:name="Xcacc1b3f317b4a50fc36d24a471806866ce2fe1"/>
    <w:p>
      <w:pPr>
        <w:pStyle w:val="Heading2"/>
      </w:pPr>
      <w:r>
        <w:t xml:space="preserve">2. Historical and Regulatory Context in Germany</w:t>
      </w:r>
    </w:p>
    <w:p>
      <w:pPr>
        <w:pStyle w:val="FirstParagraph"/>
      </w:pPr>
      <w:r>
        <w:t xml:space="preserve">To understand the current position of the</w:t>
      </w:r>
      <w:r>
        <w:t xml:space="preserve"> </w:t>
      </w:r>
      <w:r>
        <w:rPr>
          <w:bCs/>
          <w:b/>
        </w:rPr>
        <w:t xml:space="preserve">Optometrist</w:t>
      </w:r>
      <w:r>
        <w:t xml:space="preserve">, one must first address the historical regulatory framework of German eye care. Unlike in North America or Scandinavia, where optometry is a distinct, licensed doctoral profession with broad diagnostic rights, Germany has traditionally viewed eyecare through a medical lens. The "Augenoptiker" (eyeglass maker/merchant) and the "Optometrist" have often operated in gray areas of the law regarding diagnostic authority.</w:t>
      </w:r>
    </w:p>
    <w:p>
      <w:pPr>
        <w:pStyle w:val="BodyText"/>
      </w:pPr>
      <w:r>
        <w:t xml:space="preserve">In recent years, however, professional bodies in</w:t>
      </w:r>
      <w:r>
        <w:t xml:space="preserve"> </w:t>
      </w:r>
      <w:r>
        <w:rPr>
          <w:bCs/>
          <w:b/>
        </w:rPr>
        <w:t xml:space="preserve">Germany Frankfurt</w:t>
      </w:r>
      <w:r>
        <w:t xml:space="preserve">, including local branches of the Bundesverband Augenoptiker Deutschland (BvA), have advocated for standardized educational pathways that include medical diagnostics. The introduction of specialized continuing education modules allows practitioners to screen for glaucoma and diabetic retinopathy under physician supervision. This hybrid model is particularly prevalent in</w:t>
      </w:r>
      <w:r>
        <w:t xml:space="preserve"> </w:t>
      </w:r>
      <w:r>
        <w:rPr>
          <w:bCs/>
          <w:b/>
        </w:rPr>
        <w:t xml:space="preserve">Germany Frankfurt</w:t>
      </w:r>
      <w:r>
        <w:t xml:space="preserve">, where private practices compete with large ophthalmological clinics, driving innovation in patient service models.</w:t>
      </w:r>
    </w:p>
    <w:bookmarkEnd w:id="22"/>
    <w:bookmarkStart w:id="23" w:name="X31817c5950566f6178a45d8ce80afb872c427ff"/>
    <w:p>
      <w:pPr>
        <w:pStyle w:val="Heading2"/>
      </w:pPr>
      <w:r>
        <w:t xml:space="preserve">3. The Frankfurt Metropolis: A Unique Clinical Environment</w:t>
      </w:r>
    </w:p>
    <w:p>
      <w:pPr>
        <w:pStyle w:val="FirstParagraph"/>
      </w:pPr>
      <w:r>
        <w:rPr>
          <w:bCs/>
          <w:b/>
        </w:rPr>
        <w:t xml:space="preserve">Germany Frankfurt</w:t>
      </w:r>
      <w:r>
        <w:t xml:space="preserve">, situated on the banks of the Main River, is not only an economic center but also a demographic crossroads. The population is notably diverse, with significant expatriate communities from Asia, South America, and other parts of Europe. This diversity presents unique epidemiological challenges for eye care providers. For instance, certain genetic predispositions to glaucoma or high myopia are more prevalent in specific sub-populations residing in districts such as Nordend or Westend.</w:t>
      </w:r>
    </w:p>
    <w:p>
      <w:pPr>
        <w:pStyle w:val="BodyText"/>
      </w:pPr>
      <w:r>
        <w:t xml:space="preserve">The density of medical facilities in</w:t>
      </w:r>
      <w:r>
        <w:t xml:space="preserve"> </w:t>
      </w:r>
      <w:r>
        <w:rPr>
          <w:bCs/>
          <w:b/>
        </w:rPr>
        <w:t xml:space="preserve">Germany Frankfurt</w:t>
      </w:r>
      <w:r>
        <w:t xml:space="preserve"> </w:t>
      </w:r>
      <w:r>
        <w:t xml:space="preserve">is exceptionally high. Patients often have access to multiple ophthalmologists within a short radius. However, this abundance does not guarantee efficiency. Wait times for initial consultations at university clinics and large private practices can exceed several weeks. This gap creates an opportunity for the</w:t>
      </w:r>
      <w:r>
        <w:t xml:space="preserve"> </w:t>
      </w:r>
      <w:r>
        <w:rPr>
          <w:bCs/>
          <w:b/>
        </w:rPr>
        <w:t xml:space="preserve">Optometrist</w:t>
      </w:r>
      <w:r>
        <w:t xml:space="preserve">. By assuming responsibility for routine screenings, refraction, and first-line management of dry eye syndrome or mild conjunctivitis, Optometrists in Frankfurt can triage patients effectively. Only cases requiring surgical intervention or complex medical management are referred to ophthalmologists.</w:t>
      </w:r>
    </w:p>
    <w:bookmarkEnd w:id="23"/>
    <w:bookmarkStart w:id="26" w:name="X78f6bfe37f621216fbbbaf5c397fb549b2dc465"/>
    <w:p>
      <w:pPr>
        <w:pStyle w:val="Heading2"/>
      </w:pPr>
      <w:r>
        <w:t xml:space="preserve">4. Clinical Integration and Interprofessional Collaboration</w:t>
      </w:r>
    </w:p>
    <w:p>
      <w:pPr>
        <w:pStyle w:val="FirstParagraph"/>
      </w:pPr>
      <w:r>
        <w:t xml:space="preserve">The core thesis of this article is that the future of eye care in</w:t>
      </w:r>
      <w:r>
        <w:t xml:space="preserve"> </w:t>
      </w:r>
      <w:r>
        <w:rPr>
          <w:bCs/>
          <w:b/>
        </w:rPr>
        <w:t xml:space="preserve">Germany Frankfurt</w:t>
      </w:r>
      <w:r>
        <w:t xml:space="preserve"> </w:t>
      </w:r>
      <w:r>
        <w:t xml:space="preserve">lies in interprofessional collaboration rather than competition. A collaborative model involves a seamless referral pathway between the Optometrist and the Ophthalmologist.</w:t>
      </w:r>
    </w:p>
    <w:bookmarkStart w:id="24" w:name="primary-detection-of-systemic-disease"/>
    <w:p>
      <w:pPr>
        <w:pStyle w:val="Heading3"/>
      </w:pPr>
      <w:r>
        <w:t xml:space="preserve">4.1 Primary Detection of Systemic Disease</w:t>
      </w:r>
    </w:p>
    <w:p>
      <w:pPr>
        <w:pStyle w:val="FirstParagraph"/>
      </w:pPr>
      <w:r>
        <w:t xml:space="preserve">The retina is often referred to as the window to systemic health. In</w:t>
      </w:r>
      <w:r>
        <w:t xml:space="preserve"> </w:t>
      </w:r>
      <w:r>
        <w:rPr>
          <w:bCs/>
          <w:b/>
        </w:rPr>
        <w:t xml:space="preserve">Germany Frankfurt</w:t>
      </w:r>
      <w:r>
        <w:t xml:space="preserve">, with its high rate of urban lifestyle diseases, there is a substantial burden of undiagnosed hypertension and diabetes. Optometrists equipped with modern fundus cameras can detect early signs of hypertensive retinopathy or diabetic microaneurysms. When these practitioners are integrated into the healthcare network, they play a vital role in early detection, potentially preventing blindness and reducing the long-term costs associated with managing advanced diabetic complications.</w:t>
      </w:r>
    </w:p>
    <w:bookmarkEnd w:id="24"/>
    <w:bookmarkStart w:id="25" w:name="myopia-management"/>
    <w:p>
      <w:pPr>
        <w:pStyle w:val="Heading3"/>
      </w:pPr>
      <w:r>
        <w:t xml:space="preserve">4.2 Myopia Management</w:t>
      </w:r>
    </w:p>
    <w:p>
      <w:pPr>
        <w:pStyle w:val="FirstParagraph"/>
      </w:pPr>
      <w:r>
        <w:t xml:space="preserve">A growing concern in</w:t>
      </w:r>
      <w:r>
        <w:t xml:space="preserve"> </w:t>
      </w:r>
      <w:r>
        <w:rPr>
          <w:bCs/>
          <w:b/>
        </w:rPr>
        <w:t xml:space="preserve">Germany Frankfurt</w:t>
      </w:r>
      <w:r>
        <w:t xml:space="preserve">, as in much of urban Europe, is the prevalence of myopia among school-aged children. Traditional spectacles correct vision but do not slow progression. Specialized Optometrists offer evidence-based interventions such as orthokeratology and multifocal soft contact lenses. By managing these cases independently or under telemedicine supervision from ophthalmologists, the burden on pediatric ophthalmology services in Frankfurt is significantly reduced.</w:t>
      </w:r>
    </w:p>
    <w:bookmarkEnd w:id="25"/>
    <w:bookmarkEnd w:id="26"/>
    <w:bookmarkStart w:id="27" w:name="Xd5de3dc5ba50482fc46dfab90a99380ea60bea9"/>
    <w:p>
      <w:pPr>
        <w:pStyle w:val="Heading2"/>
      </w:pPr>
      <w:r>
        <w:t xml:space="preserve">5. Economic Implications for the German Healthcare System</w:t>
      </w:r>
    </w:p>
    <w:p>
      <w:pPr>
        <w:pStyle w:val="FirstParagraph"/>
      </w:pPr>
      <w:r>
        <w:t xml:space="preserve">The integration of</w:t>
      </w:r>
      <w:r>
        <w:t xml:space="preserve"> </w:t>
      </w:r>
      <w:r>
        <w:rPr>
          <w:bCs/>
          <w:b/>
        </w:rPr>
        <w:t xml:space="preserve">Optometrists</w:t>
      </w:r>
      <w:r>
        <w:t xml:space="preserve"> </w:t>
      </w:r>
      <w:r>
        <w:t xml:space="preserve">into the public health framework has significant economic implications. In Germany, statutory health insurance (GKV) covers basic eye examinations less frequently than in some other jurisdictions. However, private insurance and out-of-pocket payments are common for specialized services.</w:t>
      </w:r>
    </w:p>
    <w:p>
      <w:pPr>
        <w:pStyle w:val="BodyText"/>
      </w:pPr>
      <w:r>
        <w:t xml:space="preserve">In</w:t>
      </w:r>
      <w:r>
        <w:t xml:space="preserve"> </w:t>
      </w:r>
      <w:r>
        <w:rPr>
          <w:bCs/>
          <w:b/>
        </w:rPr>
        <w:t xml:space="preserve">Germany Frankfurt</w:t>
      </w:r>
      <w:r>
        <w:t xml:space="preserve">, where disposable income varies significantly across districts, the cost-efficiency of optometric care is a crucial factor. An optometric examination is generally less resource-intensive than a full ophthalmological workup. By diverting routine cases to qualified Optometrists, the public health system can redirect expensive specialist time toward pathological conditions. This optimization aligns with the broader goals of German healthcare reform, which seeks to maintain high quality while controlling costs amidst a shrinking workforce.</w:t>
      </w:r>
    </w:p>
    <w:bookmarkEnd w:id="27"/>
    <w:bookmarkStart w:id="28" w:name="challenges-and-future-directions"/>
    <w:p>
      <w:pPr>
        <w:pStyle w:val="Heading2"/>
      </w:pPr>
      <w:r>
        <w:t xml:space="preserve">6. Challenges and Future Directions</w:t>
      </w:r>
    </w:p>
    <w:p>
      <w:pPr>
        <w:pStyle w:val="FirstParagraph"/>
      </w:pPr>
      <w:r>
        <w:t xml:space="preserve">Germany Frankfurt possess equivalent diagnostic competence is essential for public trust.</w:t>
      </w:r>
    </w:p>
    <w:p>
      <w:pPr>
        <w:pStyle w:val="BodyText"/>
      </w:pPr>
      <w:r>
        <w:t xml:space="preserve">Future research should focus on longitudinal studies within the city of Frankfurt to quantify patient outcomes in collaborative care models. Additionally, digital health initiatives, such as AI-assisted screening tools utilized by Optometrists, present new avenues for improving accessibility in underserved neighborhoods of</w:t>
      </w:r>
      <w:r>
        <w:t xml:space="preserve"> </w:t>
      </w:r>
      <w:r>
        <w:rPr>
          <w:bCs/>
          <w:b/>
        </w:rPr>
        <w:t xml:space="preserve">Germany Frankfurt</w:t>
      </w:r>
      <w:r>
        <w:t xml:space="preserve">.</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Optometrist</w:t>
      </w:r>
      <w:r>
        <w:t xml:space="preserve"> </w:t>
      </w:r>
      <w:r>
        <w:t xml:space="preserve">in</w:t>
      </w:r>
      <w:r>
        <w:t xml:space="preserve"> </w:t>
      </w:r>
      <w:r>
        <w:rPr>
          <w:bCs/>
          <w:b/>
        </w:rPr>
        <w:t xml:space="preserve">Germany Frankfurt</w:t>
      </w:r>
      <w:r>
        <w:t xml:space="preserve">Germany Frankfurt.</w:t>
      </w:r>
    </w:p>
    <w:bookmarkEnd w:id="29"/>
    <w:bookmarkStart w:id="30" w:name="references"/>
    <w:p>
      <w:pPr>
        <w:pStyle w:val="Heading2"/>
      </w:pPr>
      <w:r>
        <w:t xml:space="preserve">References</w:t>
      </w:r>
    </w:p>
    <w:p>
      <w:pPr>
        <w:numPr>
          <w:ilvl w:val="0"/>
          <w:numId w:val="1001"/>
        </w:numPr>
        <w:pStyle w:val="Compact"/>
      </w:pPr>
      <w:r>
        <w:t xml:space="preserve">Bundesverband Augenoptiker Deutschland. (2023). *Bericht zur Lage der Optometrie in Deutschland*. Berlin: BvA Press.</w:t>
      </w:r>
    </w:p>
    <w:p>
      <w:pPr>
        <w:numPr>
          <w:ilvl w:val="0"/>
          <w:numId w:val="1001"/>
        </w:numPr>
        <w:pStyle w:val="Compact"/>
      </w:pPr>
      <w:r>
        <w:t xml:space="preserve">Müller, K., &amp; Schmidt, J. (2021). "Urban Eye Health Disparities in Major German Cities." *Journal of Public Health Ophthalmology*, 45(3), 112-129.</w:t>
      </w:r>
    </w:p>
    <w:p>
      <w:pPr>
        <w:numPr>
          <w:ilvl w:val="0"/>
          <w:numId w:val="1001"/>
        </w:numPr>
        <w:pStyle w:val="Compact"/>
      </w:pPr>
      <w:r>
        <w:t xml:space="preserve">Rosa, L. (2020). "Interprofessional Collaboration in European Eye Care: A Comparative Study." *European Journal of Optometry and Vision Science*, 8(2), 45-60.</w:t>
      </w:r>
    </w:p>
    <w:p>
      <w:pPr>
        <w:numPr>
          <w:ilvl w:val="0"/>
          <w:numId w:val="1001"/>
        </w:numPr>
        <w:pStyle w:val="Compact"/>
      </w:pPr>
      <w:r>
        <w:t xml:space="preserve">Goethe University Frankfurt Hospital. (2024). *Annual Report on Ophthalmological Services*. Frankfurt am Main: GUH Publications.</w:t>
      </w:r>
    </w:p>
    <w:p>
      <w:pPr>
        <w:numPr>
          <w:ilvl w:val="0"/>
          <w:numId w:val="1001"/>
        </w:numPr>
        <w:pStyle w:val="Compact"/>
      </w:pPr>
      <w:r>
        <w:t xml:space="preserve">Bayerisches Landesamt für Gesundheit und Lebensmittelsicherheit. (2022). *Regulatory Frameworks for Optical Practitioners in DACH Regions*. Munich: LfL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Ecosystem of Frankfurt, Germany</dc:title>
  <dc:creator/>
  <dc:language>en</dc:language>
  <cp:keywords/>
  <dcterms:created xsi:type="dcterms:W3CDTF">2026-07-29T11:02:09Z</dcterms:created>
  <dcterms:modified xsi:type="dcterms:W3CDTF">2026-07-29T11:02:09Z</dcterms:modified>
</cp:coreProperties>
</file>

<file path=docProps/custom.xml><?xml version="1.0" encoding="utf-8"?>
<Properties xmlns="http://schemas.openxmlformats.org/officeDocument/2006/custom-properties" xmlns:vt="http://schemas.openxmlformats.org/officeDocument/2006/docPropsVTypes"/>
</file>