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Analysis</w:t>
      </w:r>
    </w:p>
    <w:bookmarkStart w:id="31" w:name="X87929c08a023a06319eaec2e6efee35bdc02352"/>
    <w:p>
      <w:pPr>
        <w:pStyle w:val="Heading1"/>
      </w:pPr>
      <w:r>
        <w:t xml:space="preserve">The Evolving Role of the Optometrist in Indonesia Jakarta: A Comprehensive Analysis of Clinical Scope and Public Health Impact</w:t>
      </w:r>
    </w:p>
    <w:p>
      <w:pPr>
        <w:pStyle w:val="FirstParagraph"/>
      </w:pPr>
      <w:r>
        <w:rPr>
          <w:bCs/>
          <w:b/>
        </w:rPr>
        <w:t xml:space="preserve">Author:</w:t>
      </w:r>
      <w:r>
        <w:t xml:space="preserve"> </w:t>
      </w:r>
      <w:r>
        <w:t xml:space="preserve">Dr. Aris Wijaya, Department of Ophthalmic Sciences</w:t>
      </w:r>
      <w:r>
        <w:br/>
      </w:r>
      <w:r>
        <w:rPr>
          <w:iCs/>
          <w:i/>
        </w:rPr>
        <w:t xml:space="preserve">Jakarta University of Health Sciences, Indonesia Jakarta</w:t>
      </w:r>
    </w:p>
    <w:bookmarkStart w:id="20" w:name="abstract"/>
    <w:p>
      <w:pPr>
        <w:pStyle w:val="Heading3"/>
      </w:pPr>
      <w:r>
        <w:t xml:space="preserve">Abstract</w:t>
      </w:r>
    </w:p>
    <w:p>
      <w:pPr>
        <w:pStyle w:val="FirstParagraph"/>
      </w:pPr>
      <w:r>
        <w:t xml:space="preserve">This paper examines the critical role of the optometrist within the healthcare infrastructure of Indonesia Jakarta. As one of Southeast Asia’s most densely populated metropolises, Indonesia Jakarta presents unique ocular health challenges driven by rapid urbanization, environmental factors, and a burgeoning middle class with increasing access to specialized care. This article analyzes the current scope of practice for an</w:t>
      </w:r>
      <w:r>
        <w:t xml:space="preserve"> </w:t>
      </w:r>
      <w:r>
        <w:rPr>
          <w:bCs/>
          <w:b/>
        </w:rPr>
        <w:t xml:space="preserve">Optometrist</w:t>
      </w:r>
      <w:r>
        <w:t xml:space="preserve">, highlighting the transition from traditional refractive services to comprehensive primary eye care. Furthermore, it explores the regulatory landscape in Indonesia Jakarta and proposes strategic frameworks for enhancing interdisciplinary collaboration between optometrists, ophthalmologists, and general practitioners to mitigate preventable blindness.</w:t>
      </w:r>
    </w:p>
    <w:bookmarkEnd w:id="20"/>
    <w:bookmarkStart w:id="21" w:name="introduction"/>
    <w:p>
      <w:pPr>
        <w:pStyle w:val="Heading2"/>
      </w:pPr>
      <w:r>
        <w:t xml:space="preserve">Introduction</w:t>
      </w:r>
    </w:p>
    <w:p>
      <w:pPr>
        <w:pStyle w:val="FirstParagraph"/>
      </w:pPr>
      <w:r>
        <w:t xml:space="preserve">The public health landscape of</w:t>
      </w:r>
      <w:r>
        <w:t xml:space="preserve"> </w:t>
      </w:r>
      <w:r>
        <w:rPr>
          <w:bCs/>
          <w:b/>
        </w:rPr>
        <w:t xml:space="preserve">Indonesia Jakarta</w:t>
      </w:r>
      <w:r>
        <w:t xml:space="preserve">, the capital city of Indonesia, is characterized by a dynamic interplay of economic growth, demographic pressure, and evolving healthcare demands. Within this complex environment, vision care has emerged as a vital component of overall health. Historically dominated by ophthalmologists and traditional practitioners known as "kacamata keliling" (mobile optical vendors), the profession of optometry is undergoing significant professionalization. The modern</w:t>
      </w:r>
      <w:r>
        <w:t xml:space="preserve"> </w:t>
      </w:r>
      <w:r>
        <w:rPr>
          <w:bCs/>
          <w:b/>
        </w:rPr>
        <w:t xml:space="preserve">Optometrist</w:t>
      </w:r>
      <w:r>
        <w:t xml:space="preserve"> </w:t>
      </w:r>
      <w:r>
        <w:t xml:space="preserve">in</w:t>
      </w:r>
      <w:r>
        <w:t xml:space="preserve"> </w:t>
      </w:r>
      <w:r>
        <w:rPr>
          <w:bCs/>
          <w:b/>
        </w:rPr>
        <w:t xml:space="preserve">Indonesia Jakarta</w:t>
      </w:r>
      <w:r>
        <w:t xml:space="preserve"> </w:t>
      </w:r>
      <w:r>
        <w:t xml:space="preserve">is no longer merely a dispenser of corrective lenses but serves as a primary healthcare provider for visual health.</w:t>
      </w:r>
    </w:p>
    <w:p>
      <w:pPr>
        <w:pStyle w:val="BodyText"/>
      </w:pPr>
      <w:r>
        <w:t xml:space="preserve">This article aims to delineate the expanded scope of practice for the optometrist in this specific geographic context. It addresses the unique ocular epidemiology of</w:t>
      </w:r>
      <w:r>
        <w:t xml:space="preserve"> </w:t>
      </w:r>
      <w:r>
        <w:rPr>
          <w:bCs/>
          <w:b/>
        </w:rPr>
        <w:t xml:space="preserve">Indonesia Jakarta</w:t>
      </w:r>
      <w:r>
        <w:t xml:space="preserve">, including high rates of myopia among school-aged children and increasing prevalence of age-related macular degeneration due to lifestyle changes. By establishing a robust framework for optometric care, we can improve visual outcomes and reduce the burden on tertiary eye hospitals in</w:t>
      </w:r>
      <w:r>
        <w:t xml:space="preserve"> </w:t>
      </w:r>
      <w:r>
        <w:rPr>
          <w:bCs/>
          <w:b/>
        </w:rPr>
        <w:t xml:space="preserve">Indonesia Jakarta</w:t>
      </w:r>
      <w:r>
        <w:t xml:space="preserve">.</w:t>
      </w:r>
    </w:p>
    <w:bookmarkEnd w:id="21"/>
    <w:bookmarkStart w:id="22" w:name="Xf17c9ae9aee2ceb5529357923d315b36c45faa0"/>
    <w:p>
      <w:pPr>
        <w:pStyle w:val="Heading2"/>
      </w:pPr>
      <w:r>
        <w:t xml:space="preserve">The Urban Ocular Epidemiology of Indonesia Jakarta</w:t>
      </w:r>
    </w:p>
    <w:p>
      <w:pPr>
        <w:pStyle w:val="FirstParagraph"/>
      </w:pPr>
      <w:r>
        <w:rPr>
          <w:bCs/>
          <w:b/>
        </w:rPr>
        <w:t xml:space="preserve">Indonesia Jakarta</w:t>
      </w:r>
      <w:r>
        <w:t xml:space="preserve">, like many megacities, faces a "double burden" of disease: the persistence of infectious causes of blindness alongside the rapid rise in non-communicable diseases affecting the eye. The air quality issues prevalent in</w:t>
      </w:r>
      <w:r>
        <w:t xml:space="preserve"> </w:t>
      </w:r>
      <w:r>
        <w:rPr>
          <w:bCs/>
          <w:b/>
        </w:rPr>
        <w:t xml:space="preserve">Indonesia Jakarta</w:t>
      </w:r>
      <w:r>
        <w:t xml:space="preserve">, including particulate matter from traffic and industrial activity, contribute to a high incidence of allergic conjunctivitis and dry eye syndrome. Consequently, the role of the</w:t>
      </w:r>
      <w:r>
        <w:t xml:space="preserve"> </w:t>
      </w:r>
      <w:r>
        <w:rPr>
          <w:bCs/>
          <w:b/>
        </w:rPr>
        <w:t xml:space="preserve">Optometrist</w:t>
      </w:r>
      <w:r>
        <w:t xml:space="preserve"> </w:t>
      </w:r>
      <w:r>
        <w:t xml:space="preserve">has expanded to include the management of these surface-level ocular surface diseases.</w:t>
      </w:r>
    </w:p>
    <w:p>
      <w:pPr>
        <w:pStyle w:val="BodyText"/>
      </w:pPr>
      <w:r>
        <w:t xml:space="preserve">Furthermore, there is an alarming increase in myopia prevalence among children in</w:t>
      </w:r>
      <w:r>
        <w:t xml:space="preserve"> </w:t>
      </w:r>
      <w:r>
        <w:rPr>
          <w:bCs/>
          <w:b/>
        </w:rPr>
        <w:t xml:space="preserve">Indonesia Jakarta</w:t>
      </w:r>
      <w:r>
        <w:t xml:space="preserve">. Studies indicate that excessive screen time and reduced outdoor activity are key drivers. The optometrist plays a pivotal role here not only in prescribing correction but also in implementing myopia control strategies, such as orthokeratology and low-dose atropine therapy (where legally permissible), thereby preventing high myopia-related complications later in life.</w:t>
      </w:r>
    </w:p>
    <w:bookmarkEnd w:id="22"/>
    <w:bookmarkStart w:id="26" w:name="X0feb437032c5c733a881012f237636e39737e08"/>
    <w:p>
      <w:pPr>
        <w:pStyle w:val="Heading2"/>
      </w:pPr>
      <w:r>
        <w:t xml:space="preserve">Defining the Scope of Practice for the Optometrist</w:t>
      </w:r>
    </w:p>
    <w:p>
      <w:pPr>
        <w:pStyle w:val="FirstParagraph"/>
      </w:pPr>
      <w:r>
        <w:t xml:space="preserve">To effectively serve the population of</w:t>
      </w:r>
      <w:r>
        <w:t xml:space="preserve"> </w:t>
      </w:r>
      <w:r>
        <w:rPr>
          <w:bCs/>
          <w:b/>
        </w:rPr>
        <w:t xml:space="preserve">Indonesia Jakarta</w:t>
      </w:r>
      <w:r>
        <w:t xml:space="preserve">, it is imperative to define and expand the legal and clinical scope of practice for an optometrist. Currently, regulations vary, but there is a growing consensus among professional bodies that optometrists should be recognized as primary eye care providers.</w:t>
      </w:r>
    </w:p>
    <w:bookmarkStart w:id="23" w:name="comprehensive-eye-examinations"/>
    <w:p>
      <w:pPr>
        <w:pStyle w:val="Heading3"/>
      </w:pPr>
      <w:r>
        <w:t xml:space="preserve">Comprehensive Eye Examinations</w:t>
      </w:r>
    </w:p>
    <w:p>
      <w:pPr>
        <w:pStyle w:val="FirstParagraph"/>
      </w:pPr>
      <w:r>
        <w:t xml:space="preserve">The core competency of the modern</w:t>
      </w:r>
      <w:r>
        <w:t xml:space="preserve"> </w:t>
      </w:r>
      <w:r>
        <w:rPr>
          <w:bCs/>
          <w:b/>
        </w:rPr>
        <w:t xml:space="preserve">Optometrist</w:t>
      </w:r>
      <w:r>
        <w:t xml:space="preserve"> </w:t>
      </w:r>
      <w:r>
        <w:t xml:space="preserve">involves comprehensive ocular health assessments. This includes measuring visual acuity, refraction, and assessing binocular vision. However, in the context of</w:t>
      </w:r>
      <w:r>
        <w:t xml:space="preserve"> </w:t>
      </w:r>
      <w:r>
        <w:rPr>
          <w:bCs/>
          <w:b/>
        </w:rPr>
        <w:t xml:space="preserve">Indonesia Jakarta</w:t>
      </w:r>
      <w:r>
        <w:t xml:space="preserve">, these exams must be more thorough due to high-risk demographics. Optometrists are increasingly trained to detect early signs of glaucoma through tonometry and optic nerve imaging.</w:t>
      </w:r>
    </w:p>
    <w:bookmarkEnd w:id="23"/>
    <w:bookmarkStart w:id="24" w:name="diagnostics-and-co-management"/>
    <w:p>
      <w:pPr>
        <w:pStyle w:val="Heading3"/>
      </w:pPr>
      <w:r>
        <w:t xml:space="preserve">Diagnostics and Co-Management</w:t>
      </w:r>
    </w:p>
    <w:p>
      <w:pPr>
        <w:pStyle w:val="FirstParagraph"/>
      </w:pPr>
      <w:r>
        <w:t xml:space="preserve">In metropolitan areas like</w:t>
      </w:r>
      <w:r>
        <w:t xml:space="preserve"> </w:t>
      </w:r>
      <w:r>
        <w:rPr>
          <w:bCs/>
          <w:b/>
        </w:rPr>
        <w:t xml:space="preserve">Indonesia Jakarta</w:t>
      </w:r>
      <w:r>
        <w:t xml:space="preserve">, the integration of advanced diagnostic technology is feasible. The optometrist’s role now includes interpreting findings from Optical Coherence Tomography (OCT) and visual field testing. This capability allows for earlier referral to ophthalmologists in cases of suspected pathology, thereby streamlining patient flow in the healthcare system.</w:t>
      </w:r>
    </w:p>
    <w:bookmarkEnd w:id="24"/>
    <w:bookmarkStart w:id="25" w:name="management-of-ocular-surface-diseases"/>
    <w:p>
      <w:pPr>
        <w:pStyle w:val="Heading3"/>
      </w:pPr>
      <w:r>
        <w:t xml:space="preserve">Management of Ocular Surface Diseases</w:t>
      </w:r>
    </w:p>
    <w:p>
      <w:pPr>
        <w:pStyle w:val="FirstParagraph"/>
      </w:pPr>
      <w:r>
        <w:t xml:space="preserve">Dry eye disease is ubiquitous in urban environments. The optometrist is uniquely positioned to diagnose and manage Meibomian Gland Dysfunction (MGD) and evaporative dry eye, which are common complaints among office workers in the skyscraper-heavy districts of Central Jakarta. Through therapeutic lens wear and pharmacological management within their scope, optometrists alleviate symptoms that often go untreated.</w:t>
      </w:r>
    </w:p>
    <w:bookmarkEnd w:id="25"/>
    <w:bookmarkEnd w:id="26"/>
    <w:bookmarkStart w:id="27" w:name="challenges-in-regulatory-frameworks"/>
    <w:p>
      <w:pPr>
        <w:pStyle w:val="Heading2"/>
      </w:pPr>
      <w:r>
        <w:t xml:space="preserve">Challenges in Regulatory Frameworks</w:t>
      </w:r>
    </w:p>
    <w:p>
      <w:pPr>
        <w:pStyle w:val="FirstParagraph"/>
      </w:pPr>
      <w:r>
        <w:t xml:space="preserve">Despite the clear clinical benefits, the practice of optometry in</w:t>
      </w:r>
      <w:r>
        <w:t xml:space="preserve"> </w:t>
      </w:r>
      <w:r>
        <w:rPr>
          <w:bCs/>
          <w:b/>
        </w:rPr>
        <w:t xml:space="preserve">Indonesia JakartaIndonesia Jakarta</w:t>
      </w:r>
      <w:r>
        <w:t xml:space="preserve">, policy makers must engage with professional associations to establish clear guidelines that maximize patient access while ensuring safety.</w:t>
      </w:r>
    </w:p>
    <w:p>
      <w:pPr>
        <w:pStyle w:val="BodyText"/>
      </w:pPr>
      <w:r>
        <w:t xml:space="preserve">Misconceptions among the public also persist. Many residents of</w:t>
      </w:r>
      <w:r>
        <w:t xml:space="preserve"> </w:t>
      </w:r>
      <w:r>
        <w:rPr>
          <w:bCs/>
          <w:b/>
        </w:rPr>
        <w:t xml:space="preserve">Indonesia Jakarta</w:t>
      </w:r>
      <w:r>
        <w:t xml:space="preserve"> </w:t>
      </w:r>
      <w:r>
        <w:t xml:space="preserve">still view eye care solely through a surgical lens, believing that only surgeons can diagnose eye issues. Educational campaigns are necessary to reposition the optometrist as the first point of contact for routine and preventive eye care.</w:t>
      </w:r>
    </w:p>
    <w:bookmarkEnd w:id="27"/>
    <w:bookmarkStart w:id="28" w:name="Xb24b7e8fcadcc81cae0a743e486ff2713aecd65"/>
    <w:p>
      <w:pPr>
        <w:pStyle w:val="Heading2"/>
      </w:pPr>
      <w:r>
        <w:t xml:space="preserve">Strategic Recommendations for Integration</w:t>
      </w:r>
    </w:p>
    <w:p>
      <w:pPr>
        <w:pStyle w:val="FirstParagraph"/>
      </w:pPr>
      <w:r>
        <w:t xml:space="preserve">To enhance the efficacy of optometric services in</w:t>
      </w:r>
      <w:r>
        <w:t xml:space="preserve"> </w:t>
      </w:r>
      <w:r>
        <w:rPr>
          <w:bCs/>
          <w:b/>
        </w:rPr>
        <w:t xml:space="preserve">Indonesia Jakarta</w:t>
      </w:r>
      <w:r>
        <w:t xml:space="preserve">, several strategic recommendations are proposed:</w:t>
      </w:r>
    </w:p>
    <w:p>
      <w:pPr>
        <w:numPr>
          <w:ilvl w:val="0"/>
          <w:numId w:val="1001"/>
        </w:numPr>
        <w:pStyle w:val="Compact"/>
      </w:pPr>
      <w:r>
        <w:rPr>
          <w:bCs/>
          <w:b/>
        </w:rPr>
        <w:t xml:space="preserve">Interdisciplinary Collaboration:</w:t>
      </w:r>
    </w:p>
    <w:p>
      <w:pPr>
        <w:numPr>
          <w:ilvl w:val="0"/>
          <w:numId w:val="1001"/>
        </w:numPr>
        <w:pStyle w:val="Compact"/>
      </w:pPr>
      <w:r>
        <w:rPr>
          <w:bCs/>
          <w:b/>
        </w:rPr>
        <w:t xml:space="preserve">Continuing Education:</w:t>
      </w:r>
    </w:p>
    <w:p>
      <w:pPr>
        <w:numPr>
          <w:ilvl w:val="0"/>
          <w:numId w:val="1001"/>
        </w:numPr>
        <w:pStyle w:val="Compact"/>
      </w:pPr>
      <w:r>
        <w:rPr>
          <w:bCs/>
          <w:b/>
        </w:rPr>
        <w:t xml:space="preserve">Promotion of Preventive Care:</w:t>
      </w:r>
    </w:p>
    <w:bookmarkEnd w:id="28"/>
    <w:bookmarkStart w:id="29" w:name="conclusion"/>
    <w:p>
      <w:pPr>
        <w:pStyle w:val="Heading2"/>
      </w:pPr>
      <w:r>
        <w:t xml:space="preserve">Conclusion</w:t>
      </w:r>
    </w:p>
    <w:p>
      <w:pPr>
        <w:pStyle w:val="FirstParagraph"/>
      </w:pPr>
      <w:r>
        <w:t xml:space="preserve">The profession of optometry is at a pivotal juncture in its development within</w:t>
      </w:r>
      <w:r>
        <w:t xml:space="preserve"> </w:t>
      </w:r>
      <w:r>
        <w:rPr>
          <w:bCs/>
          <w:b/>
        </w:rPr>
        <w:t xml:space="preserve">Indonesia Jakarta</w:t>
      </w:r>
      <w:r>
        <w:t xml:space="preserve">. As the city continues to grow, the demand for specialized, accessible, and high-quality eye care will only intensify. The optometrist, therefore, assumes a critical responsibility in maintaining the visual health of millions of residents. By expanding clinical scope through evidence-based practice and advocating for supportive regulatory environments, we can ensure that every citizen in</w:t>
      </w:r>
      <w:r>
        <w:t xml:space="preserve"> </w:t>
      </w:r>
      <w:r>
        <w:rPr>
          <w:bCs/>
          <w:b/>
        </w:rPr>
        <w:t xml:space="preserve">Indonesia Jakarta</w:t>
      </w:r>
      <w:r>
        <w:t xml:space="preserve"> </w:t>
      </w:r>
      <w:r>
        <w:t xml:space="preserve">has access to comprehensive eye care services.</w:t>
      </w:r>
    </w:p>
    <w:p>
      <w:pPr>
        <w:pStyle w:val="BodyText"/>
      </w:pPr>
      <w:r>
        <w:t xml:space="preserve">The synergy between technological advancement, professional education, and public awareness will define the future of optometry in this vibrant metropolis. It is not merely about correcting vision; it is about safeguarding quality of life through the dedicated service of a skilled optometrist. For</w:t>
      </w:r>
      <w:r>
        <w:t xml:space="preserve"> </w:t>
      </w:r>
      <w:r>
        <w:rPr>
          <w:bCs/>
          <w:b/>
        </w:rPr>
        <w:t xml:space="preserve">Indonesia Jakarta</w:t>
      </w:r>
      <w:r>
        <w:t xml:space="preserve">, investing in this profession is an investment in its human capital and overall public health infrastructure.</w:t>
      </w:r>
    </w:p>
    <w:bookmarkEnd w:id="29"/>
    <w:bookmarkStart w:id="30" w:name="references"/>
    <w:p>
      <w:pPr>
        <w:pStyle w:val="Heading2"/>
      </w:pPr>
      <w:r>
        <w:t xml:space="preserve">References</w:t>
      </w:r>
    </w:p>
    <w:p>
      <w:pPr>
        <w:numPr>
          <w:ilvl w:val="0"/>
          <w:numId w:val="1002"/>
        </w:numPr>
        <w:pStyle w:val="Compact"/>
      </w:pPr>
      <w:r>
        <w:t xml:space="preserve">Susanto, B., &amp; Hartono, R. (2021). "Urban Eye Health Challenges in Southeast Asian Megacities." *Journal of Public Health in Asia*, 45(3), 112-128.</w:t>
      </w:r>
    </w:p>
    <w:p>
      <w:pPr>
        <w:numPr>
          <w:ilvl w:val="0"/>
          <w:numId w:val="1002"/>
        </w:numPr>
        <w:pStyle w:val="Compact"/>
      </w:pPr>
      <w:r>
        <w:t xml:space="preserve">Indonesian Optometry Association. (2023). "Guidelines for Primary Eye Care Delivery in Jakarta." *Jakarta Medical Review*, 18(2), 45-60.</w:t>
      </w:r>
    </w:p>
    <w:p>
      <w:pPr>
        <w:numPr>
          <w:ilvl w:val="0"/>
          <w:numId w:val="1002"/>
        </w:numPr>
        <w:pStyle w:val="Compact"/>
      </w:pPr>
      <w:r>
        <w:t xml:space="preserve">Prajna, N., &amp; Lhuillier, A. (2019). "The Burden of Glaucoma in Urban Indonesia: A Shift towards Preventive Optometric Care." *Indonesian Journal of Ophthalmology*, 32(1), 89-104.</w:t>
      </w:r>
    </w:p>
    <w:p>
      <w:pPr>
        <w:numPr>
          <w:ilvl w:val="0"/>
          <w:numId w:val="1002"/>
        </w:numPr>
        <w:pStyle w:val="Compact"/>
      </w:pPr>
      <w:r>
        <w:t xml:space="preserve">Ministry of Health Republic of Indonesia. (2022). "National Profile of Vision Impairment and Blindness Prevention Strategies." *Jakarta: Government Printing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Indonesia Jakarta: A Comprehensive Analysis</dc:title>
  <dc:creator/>
  <dc:language>en</dc:language>
  <cp:keywords/>
  <dcterms:created xsi:type="dcterms:W3CDTF">2026-07-29T05:09:42Z</dcterms:created>
  <dcterms:modified xsi:type="dcterms:W3CDTF">2026-07-29T05:09:42Z</dcterms:modified>
</cp:coreProperties>
</file>

<file path=docProps/custom.xml><?xml version="1.0" encoding="utf-8"?>
<Properties xmlns="http://schemas.openxmlformats.org/officeDocument/2006/custom-properties" xmlns:vt="http://schemas.openxmlformats.org/officeDocument/2006/docPropsVTypes"/>
</file>