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Infrastructure</w:t>
      </w:r>
    </w:p>
    <w:bookmarkStart w:id="28" w:name="X7cdb7eee37b575d93df9e6916d14774313a1d7f"/>
    <w:p>
      <w:pPr>
        <w:pStyle w:val="Heading1"/>
      </w:pPr>
      <w:r>
        <w:t xml:space="preserve">The Evolving Role of the Optometrist in Myanmar Yangon:</w:t>
      </w:r>
      <w:r>
        <w:br/>
      </w:r>
      <w:r>
        <w:t xml:space="preserve">Bridging Clinical Practice and Public Health Infrastructure</w:t>
      </w:r>
    </w:p>
    <w:p>
      <w:pPr>
        <w:pStyle w:val="FirstParagraph"/>
      </w:pPr>
      <w:r>
        <w:rPr>
          <w:bCs/>
          <w:b/>
        </w:rPr>
        <w:t xml:space="preserve">Journal of Vision Care in Developing Economies</w:t>
      </w:r>
      <w:r>
        <w:br/>
      </w:r>
      <w:r>
        <w:rPr>
          <w:bCs/>
          <w:b/>
        </w:rPr>
        <w:t xml:space="preserve">VOL. 4, ISSUE 2 | SPRING 2024</w:t>
      </w:r>
    </w:p>
    <w:p>
      <w:pPr>
        <w:pStyle w:val="BodyText"/>
      </w:pPr>
      <w:r>
        <w:rPr>
          <w:iCs/>
          <w:i/>
        </w:rPr>
        <w:t xml:space="preserve">Corresponding Author: Dr. Aung Min Naing, Department of Ophthalmic Sciences, Yangon University of Medical Technology</w:t>
      </w:r>
    </w:p>
    <w:bookmarkStart w:id="20" w:name="abstract"/>
    <w:p>
      <w:pPr>
        <w:pStyle w:val="Heading3"/>
      </w:pPr>
      <w:r>
        <w:rPr>
          <w:bCs/>
          <w:b/>
        </w:rPr>
        <w:t xml:space="preserve">Abstract</w:t>
      </w:r>
    </w:p>
    <w:p>
      <w:pPr>
        <w:pStyle w:val="FirstParagraph"/>
      </w:pPr>
      <w:r>
        <w:t xml:space="preserve">This article examines the critical role of the</w:t>
      </w:r>
      <w:r>
        <w:t xml:space="preserve"> </w:t>
      </w:r>
      <w:r>
        <w:rPr>
          <w:bCs/>
          <w:b/>
        </w:rPr>
        <w:t xml:space="preserve">optometrist</w:t>
      </w:r>
      <w:r>
        <w:t xml:space="preserve">Myanmar Yangon. As urbanization accelerates and digital eye strain becomes prevalent, the demand for specialized ocular health services is outpacing current supply. This paper analyzes the educational trajectory, scope of practice limitations, and socio-economic challenges facing optometry professionals in Yangon. Furthermore, it proposes a framework for integrating optometrists into the primary healthcare network to address rising rates of diabetes-related retinopathy and uncorrected refractive errors among school-aged children.</w:t>
      </w:r>
    </w:p>
    <w:bookmarkEnd w:id="20"/>
    <w:bookmarkStart w:id="21" w:name="introduction"/>
    <w:p>
      <w:pPr>
        <w:pStyle w:val="Heading2"/>
      </w:pPr>
      <w:r>
        <w:t xml:space="preserve">1. Introduction</w:t>
      </w:r>
    </w:p>
    <w:p>
      <w:pPr>
        <w:pStyle w:val="FirstParagraph"/>
      </w:pPr>
      <w:r>
        <w:t xml:space="preserve">Vision is a fundamental component of human development, economic productivity, and quality of life. In recent decades, the landscape of eye care in</w:t>
      </w:r>
      <w:r>
        <w:t xml:space="preserve"> </w:t>
      </w:r>
      <w:r>
        <w:rPr>
          <w:bCs/>
          <w:b/>
        </w:rPr>
        <w:t xml:space="preserve">Myanmar Yangon</w:t>
      </w:r>
      <w:r>
        <w:t xml:space="preserve">, the commercial capital and largest city of Myanmar, has undergone significant transformation. Historically dominated by ophthalmologists working within government hospitals and private specialist clinics, the field is now witnessing a gradual but necessary expansion to include licensed</w:t>
      </w:r>
      <w:r>
        <w:t xml:space="preserve"> </w:t>
      </w:r>
      <w:r>
        <w:rPr>
          <w:bCs/>
          <w:b/>
        </w:rPr>
        <w:t xml:space="preserve">optometrists</w:t>
      </w:r>
      <w:r>
        <w:t xml:space="preserve">. Despite this evolution, systemic gaps remain in patient education, preventive care, and early detection of ocular pathology.</w:t>
      </w:r>
    </w:p>
    <w:p>
      <w:pPr>
        <w:pStyle w:val="BodyText"/>
      </w:pPr>
      <w:r>
        <w:t xml:space="preserve">The city of Yangon presents a unique microcosm for studying these challenges. With a population exceeding five million and a rapidly growing middle class, the prevalence of lifestyle-related vision problems—such as computer vision syndrome (CVS) and myopia progression—is increasing. However, the public perception of eye care often conflates optical dispensing with medical diagnosis. This article aims to clarify the distinct professional identity of the</w:t>
      </w:r>
      <w:r>
        <w:t xml:space="preserve"> </w:t>
      </w:r>
      <w:r>
        <w:rPr>
          <w:bCs/>
          <w:b/>
        </w:rPr>
        <w:t xml:space="preserve">optometrist</w:t>
      </w:r>
      <w:r>
        <w:t xml:space="preserve">, advocate for expanded scope-of-practice rights in Myanmar, and outline strategies for improving visual health outcomes in</w:t>
      </w:r>
      <w:r>
        <w:t xml:space="preserve"> </w:t>
      </w:r>
      <w:r>
        <w:rPr>
          <w:bCs/>
          <w:b/>
        </w:rPr>
        <w:t xml:space="preserve">Myanmar Yangon</w:t>
      </w:r>
      <w:r>
        <w:t xml:space="preserve">.</w:t>
      </w:r>
    </w:p>
    <w:bookmarkEnd w:id="21"/>
    <w:bookmarkStart w:id="22" w:name="X9ca018b29167d923f49c89840f19d7bdb6699d3"/>
    <w:p>
      <w:pPr>
        <w:pStyle w:val="Heading2"/>
      </w:pPr>
      <w:r>
        <w:t xml:space="preserve">2. The Professional Landscape: Education and Scope of Practice</w:t>
      </w:r>
    </w:p>
    <w:p>
      <w:pPr>
        <w:pStyle w:val="FirstParagraph"/>
      </w:pPr>
      <w:r>
        <w:t xml:space="preserve">The training of an</w:t>
      </w:r>
      <w:r>
        <w:t xml:space="preserve"> </w:t>
      </w:r>
      <w:r>
        <w:rPr>
          <w:bCs/>
          <w:b/>
        </w:rPr>
        <w:t xml:space="preserve">optometrist</w:t>
      </w:r>
      <w:r>
        <w:t xml:space="preserve">Myanmar Yangon, several institutions now offer Bachelor of Science in Optometry degrees. However, the transition from academic qualification to professional licensure remains a complex bureaucratic process.</w:t>
      </w:r>
    </w:p>
    <w:p>
      <w:pPr>
        <w:pStyle w:val="BodyText"/>
      </w:pPr>
      <w:r>
        <w:t xml:space="preserve">A critical distinction must be made between an optical dispenser and a licensed optometrist. While both may provide glasses, only the optometrist is trained to diagnose eye diseases such as glaucoma, cataracts (pre-surgical evaluation), macular degeneration, and diabetic retinopathy. In</w:t>
      </w:r>
      <w:r>
        <w:t xml:space="preserve"> </w:t>
      </w:r>
      <w:r>
        <w:rPr>
          <w:bCs/>
          <w:b/>
        </w:rPr>
        <w:t xml:space="preserve">Myanmar Yangon</w:t>
      </w:r>
      <w:r>
        <w:t xml:space="preserve">, many patients still seek care primarily from general practitioners or unqualified optical shop owners due to a lack of awareness regarding the diagnostic capabilities of optometry professionals. This gap in knowledge leads to delayed diagnoses and irreversible vision loss.</w:t>
      </w:r>
    </w:p>
    <w:bookmarkEnd w:id="22"/>
    <w:bookmarkStart w:id="23" w:name="Xfb7c2c93a142233355eb439f02015b148f3d5ed"/>
    <w:p>
      <w:pPr>
        <w:pStyle w:val="Heading2"/>
      </w:pPr>
      <w:r>
        <w:t xml:space="preserve">3. Socio-Economic Determinants of Eye Health in Yangon</w:t>
      </w:r>
    </w:p>
    <w:p>
      <w:pPr>
        <w:pStyle w:val="FirstParagraph"/>
      </w:pPr>
      <w:r>
        <w:t xml:space="preserve">The demand for optometric services in</w:t>
      </w:r>
      <w:r>
        <w:t xml:space="preserve"> </w:t>
      </w:r>
      <w:r>
        <w:rPr>
          <w:bCs/>
          <w:b/>
        </w:rPr>
        <w:t xml:space="preserve">Myanmar Yangon</w:t>
      </w:r>
      <w:r>
        <w:t xml:space="preserve"> </w:t>
      </w:r>
      <w:r>
        <w:t xml:space="preserve">is heavily influenced by socioeconomic factors. The rapid urbanization of the city has led to a sedentary lifestyle for many residents, characterized by prolonged screen time on smartphones and computers. Consequently, there is a surge in prescriptions for digital eyewear and blue-light filtering lenses among young professionals and students.</w:t>
      </w:r>
    </w:p>
    <w:p>
      <w:pPr>
        <w:pStyle w:val="BodyText"/>
      </w:pPr>
      <w:r>
        <w:t xml:space="preserve">Furthermore, the rising prevalence of non-communicable diseases (NCDs), particularly type 2 diabetes mellitus, poses a significant threat to public vision health in</w:t>
      </w:r>
      <w:r>
        <w:t xml:space="preserve"> </w:t>
      </w:r>
      <w:r>
        <w:rPr>
          <w:bCs/>
          <w:b/>
        </w:rPr>
        <w:t xml:space="preserve">Myanmar Yangon</w:t>
      </w:r>
      <w:r>
        <w:t xml:space="preserve">. Diabetic retinopathy is a leading cause of blindness globally. Given that many primary healthcare clinics in urban Yangon lack specialized ophthalmologists, the</w:t>
      </w:r>
      <w:r>
        <w:t xml:space="preserve"> </w:t>
      </w:r>
      <w:r>
        <w:rPr>
          <w:bCs/>
          <w:b/>
        </w:rPr>
        <w:t xml:space="preserve">optometrist</w:t>
      </w:r>
      <w:r>
        <w:t xml:space="preserve"> </w:t>
      </w:r>
      <w:r>
        <w:t xml:space="preserve">serves as an essential first line of defense. Routine screening by optometrists can identify early signs of diabetic eye disease, allowing for timely referral to ophthalmologists for laser treatment or anti-VEGF injections.</w:t>
      </w:r>
    </w:p>
    <w:bookmarkEnd w:id="23"/>
    <w:bookmarkStart w:id="24" w:name="challenges-in-healthcare-integration"/>
    <w:p>
      <w:pPr>
        <w:pStyle w:val="Heading2"/>
      </w:pPr>
      <w:r>
        <w:t xml:space="preserve">4. Challenges in Healthcare Integration</w:t>
      </w:r>
    </w:p>
    <w:p>
      <w:pPr>
        <w:pStyle w:val="FirstParagraph"/>
      </w:pPr>
      <w:r>
        <w:t xml:space="preserve">Despite their clinical competencies,</w:t>
      </w:r>
      <w:r>
        <w:t xml:space="preserve"> </w:t>
      </w:r>
      <w:r>
        <w:rPr>
          <w:bCs/>
          <w:b/>
        </w:rPr>
        <w:t xml:space="preserve">optometrists</w:t>
      </w:r>
      <w:r>
        <w:t xml:space="preserve"> </w:t>
      </w:r>
      <w:r>
        <w:t xml:space="preserve">in</w:t>
      </w:r>
      <w:r>
        <w:t xml:space="preserve"> </w:t>
      </w:r>
      <w:r>
        <w:rPr>
          <w:bCs/>
          <w:b/>
        </w:rPr>
        <w:t xml:space="preserve">Myanmar Yangon</w:t>
      </w:r>
    </w:p>
    <w:p>
      <w:pPr>
        <w:pStyle w:val="BodyText"/>
      </w:pPr>
      <w:r>
        <w:t xml:space="preserve">Additionally, insurance coverage for optometric services remains limited in</w:t>
      </w:r>
      <w:r>
        <w:t xml:space="preserve"> </w:t>
      </w:r>
      <w:r>
        <w:rPr>
          <w:bCs/>
          <w:b/>
        </w:rPr>
        <w:t xml:space="preserve">Myanmar Yangon</w:t>
      </w:r>
      <w:r>
        <w:t xml:space="preserve">. Most health insurance plans cover surgical interventions performed by ophthalmologists but exclude routine refractions or diagnostic testing. This economic barrier discourages preventive care, forcing patients to seek treatment only when vision loss is severe.</w:t>
      </w:r>
    </w:p>
    <w:bookmarkEnd w:id="24"/>
    <w:bookmarkStart w:id="25" w:name="X0f69c608b693f6d4436208e381ccb140187932c"/>
    <w:p>
      <w:pPr>
        <w:pStyle w:val="Heading2"/>
      </w:pPr>
      <w:r>
        <w:t xml:space="preserve">5. Strategic Recommendations for Future Development</w:t>
      </w:r>
    </w:p>
    <w:p>
      <w:pPr>
        <w:pStyle w:val="FirstParagraph"/>
      </w:pPr>
      <w:r>
        <w:t xml:space="preserve">To enhance the efficacy of eye care in</w:t>
      </w:r>
      <w:r>
        <w:t xml:space="preserve"> </w:t>
      </w:r>
      <w:r>
        <w:rPr>
          <w:bCs/>
          <w:b/>
        </w:rPr>
        <w:t xml:space="preserve">Myanmar Yangon</w:t>
      </w:r>
      <w:r>
        <w:t xml:space="preserve">, several strategic recommendations are proposed:</w:t>
      </w:r>
    </w:p>
    <w:p>
      <w:pPr>
        <w:numPr>
          <w:ilvl w:val="0"/>
          <w:numId w:val="1001"/>
        </w:numPr>
        <w:pStyle w:val="Compact"/>
      </w:pPr>
      <w:r>
        <w:rPr>
          <w:bCs/>
          <w:b/>
        </w:rPr>
        <w:t xml:space="preserve">Promulgation of the Optometry Act:</w:t>
      </w:r>
      <w:r>
        <w:t xml:space="preserve">The government should formalize the registration and regulation of optometrists through dedicated legislation. This would define clear scopes of practice, including diagnostic privileges and limited prescription rights for topical agents.</w:t>
      </w:r>
    </w:p>
    <w:p>
      <w:pPr>
        <w:numPr>
          <w:ilvl w:val="0"/>
          <w:numId w:val="1001"/>
        </w:numPr>
        <w:pStyle w:val="Compact"/>
      </w:pPr>
      <w:r>
        <w:rPr>
          <w:bCs/>
          <w:b/>
        </w:rPr>
        <w:t xml:space="preserve">School-Based Screening Programs:</w:t>
      </w:r>
      <w:r>
        <w:t xml:space="preserve">Implementing routine vision screenings in primary schools across</w:t>
      </w:r>
      <w:r>
        <w:t xml:space="preserve"> </w:t>
      </w:r>
      <w:r>
        <w:rPr>
          <w:bCs/>
          <w:b/>
        </w:rPr>
        <w:t xml:space="preserve">Myanmar Yangon</w:t>
      </w:r>
      <w:r>
        <w:t xml:space="preserve">, conducted by trained optometry students or licensed professionals, can address the high prevalence of uncorrected myopia. Early intervention prevents academic underperformance and social stigma associated with poor vision.</w:t>
      </w:r>
    </w:p>
    <w:p>
      <w:pPr>
        <w:numPr>
          <w:ilvl w:val="0"/>
          <w:numId w:val="1001"/>
        </w:numPr>
        <w:pStyle w:val="Compact"/>
      </w:pPr>
      <w:r>
        <w:rPr>
          <w:bCs/>
          <w:b/>
        </w:rPr>
        <w:t xml:space="preserve">Public Awareness Campaigns:</w:t>
      </w:r>
      <w:r>
        <w:t xml:space="preserve">Educational initiatives are needed to distinguish between optical shops and professional optometric practices. Campaigns should highlight the role of the</w:t>
      </w:r>
      <w:r>
        <w:t xml:space="preserve"> </w:t>
      </w:r>
      <w:r>
        <w:rPr>
          <w:bCs/>
          <w:b/>
        </w:rPr>
        <w:t xml:space="preserve">optometrist</w:t>
      </w:r>
      <w:r>
        <w:t xml:space="preserve"> </w:t>
      </w:r>
      <w:r>
        <w:t xml:space="preserve">as an eye care physician who manages ocular health, not just a vendor of spectacles.</w:t>
      </w:r>
    </w:p>
    <w:p>
      <w:pPr>
        <w:numPr>
          <w:ilvl w:val="0"/>
          <w:numId w:val="1001"/>
        </w:numPr>
        <w:pStyle w:val="Compact"/>
      </w:pPr>
      <w:r>
        <w:rPr>
          <w:bCs/>
          <w:b/>
        </w:rPr>
        <w:t xml:space="preserve">Digital Health Integration:</w:t>
      </w:r>
      <w:r>
        <w:t xml:space="preserve">Leveraging tele-optometry platforms can connect rural patients with optometrists in Yangon for preliminary assessments, facilitating better resource allocation and reducing overcrowding in central hospitals.</w:t>
      </w:r>
    </w:p>
    <w:bookmarkEnd w:id="25"/>
    <w:bookmarkStart w:id="26" w:name="conclusion"/>
    <w:p>
      <w:pPr>
        <w:pStyle w:val="Heading2"/>
      </w:pPr>
      <w:r>
        <w:t xml:space="preserve">6. Conclusion</w:t>
      </w:r>
    </w:p>
    <w:p>
      <w:pPr>
        <w:pStyle w:val="FirstParagraph"/>
      </w:pPr>
      <w:r>
        <w:t xml:space="preserve">The future of eye health in</w:t>
      </w:r>
      <w:r>
        <w:t xml:space="preserve"> </w:t>
      </w:r>
      <w:r>
        <w:rPr>
          <w:bCs/>
          <w:b/>
        </w:rPr>
        <w:t xml:space="preserve">Myanmar Yangon</w:t>
      </w:r>
      <w:r>
        <w:t xml:space="preserve"> </w:t>
      </w:r>
      <w:r>
        <w:t xml:space="preserve">relies on the effective integration of all eye care professionals into a cohesive healthcare network. The</w:t>
      </w:r>
      <w:r>
        <w:t xml:space="preserve"> </w:t>
      </w:r>
      <w:r>
        <w:rPr>
          <w:bCs/>
          <w:b/>
        </w:rPr>
        <w:t xml:space="preserve">optometrist</w:t>
      </w:r>
      <w:r>
        <w:t xml:space="preserve">, with their specialized training in vision science and ocular disease detection, is an indispensable asset to this system. By addressing regulatory barriers, enhancing public education, and expanding insurance coverage for preventive services, Myanmar can significantly improve visual health outcomes.</w:t>
      </w:r>
    </w:p>
    <w:p>
      <w:pPr>
        <w:pStyle w:val="BodyText"/>
      </w:pPr>
      <w:r>
        <w:t xml:space="preserve">As Yangon continues to grow as a metropolitan hub, the collaboration between government policymakers, academic institutions providing optometry education in</w:t>
      </w:r>
      <w:r>
        <w:t xml:space="preserve"> </w:t>
      </w:r>
      <w:r>
        <w:rPr>
          <w:bCs/>
          <w:b/>
        </w:rPr>
        <w:t xml:space="preserve">Myanmar Yangon</w:t>
      </w:r>
      <w:r>
        <w:t xml:space="preserve">, and clinical practitioners will be crucial. Empowering optometrists with appropriate legal standing and resources will not only alleviate the burden on ophthalmologists but also ensure that high-quality, accessible eye care reaches every citizen of this dynamic city.</w:t>
      </w:r>
    </w:p>
    <w:bookmarkEnd w:id="26"/>
    <w:bookmarkStart w:id="27" w:name="references"/>
    <w:p>
      <w:pPr>
        <w:pStyle w:val="Heading2"/>
      </w:pPr>
      <w:r>
        <w:t xml:space="preserve">References</w:t>
      </w:r>
    </w:p>
    <w:p>
      <w:pPr>
        <w:numPr>
          <w:ilvl w:val="0"/>
          <w:numId w:val="1002"/>
        </w:numPr>
        <w:pStyle w:val="Compact"/>
      </w:pPr>
      <w:r>
        <w:t xml:space="preserve">Zaw, T., &amp; Hlaing, M. (2021). "Prevalence of Uncorrected Refractive Error among School Children in Yangon."</w:t>
      </w:r>
      <w:r>
        <w:t xml:space="preserve"> </w:t>
      </w:r>
      <w:r>
        <w:rPr>
          <w:iCs/>
          <w:i/>
        </w:rPr>
        <w:t xml:space="preserve">Journal of Myanmar Health Sciences</w:t>
      </w:r>
      <w:r>
        <w:t xml:space="preserve">, 15(3), 45-52.</w:t>
      </w:r>
    </w:p>
    <w:p>
      <w:pPr>
        <w:numPr>
          <w:ilvl w:val="0"/>
          <w:numId w:val="1002"/>
        </w:numPr>
        <w:pStyle w:val="Compact"/>
      </w:pPr>
      <w:r>
        <w:t xml:space="preserve">Kyaw, S. (2019). "Urbanization and Digital Eye Strain: A Study of IT Professionals in Downtown Yangon."</w:t>
      </w:r>
      <w:r>
        <w:t xml:space="preserve"> </w:t>
      </w:r>
      <w:r>
        <w:rPr>
          <w:iCs/>
          <w:i/>
        </w:rPr>
        <w:t xml:space="preserve">Asia Pacific Journal of Optometry</w:t>
      </w:r>
      <w:r>
        <w:t xml:space="preserve">, 8(2), 112-120.</w:t>
      </w:r>
    </w:p>
    <w:p>
      <w:pPr>
        <w:numPr>
          <w:ilvl w:val="0"/>
          <w:numId w:val="1002"/>
        </w:numPr>
        <w:pStyle w:val="Compact"/>
      </w:pPr>
      <w:r>
        <w:t xml:space="preserve">Ministry of Health, Myanmar. (2020). "National Guidelines for Ophthalmic Care Services." Yangon: Government Printing Corporation.</w:t>
      </w:r>
    </w:p>
    <w:p>
      <w:pPr>
        <w:numPr>
          <w:ilvl w:val="0"/>
          <w:numId w:val="1002"/>
        </w:numPr>
        <w:pStyle w:val="Compact"/>
      </w:pPr>
      <w:r>
        <w:t xml:space="preserve">Aung, K. (2023). "The Scope of Practice Debate in Southeast Asian Optometry: A Comparative Analysis with Thailand and Vietnam."</w:t>
      </w:r>
      <w:r>
        <w:t xml:space="preserve"> </w:t>
      </w:r>
      <w:r>
        <w:rPr>
          <w:iCs/>
          <w:i/>
        </w:rPr>
        <w:t xml:space="preserve">Global Vision Health Review</w:t>
      </w:r>
      <w:r>
        <w:t xml:space="preserve">, 10(1),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Myanmar Yangon: Bridging Clinical Practice and Public Health Infrastructure</dc:title>
  <dc:creator/>
  <dc:language>en</dc:language>
  <cp:keywords/>
  <dcterms:created xsi:type="dcterms:W3CDTF">2026-07-29T07:36:35Z</dcterms:created>
  <dcterms:modified xsi:type="dcterms:W3CDTF">2026-07-29T07:36:35Z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