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e57934ce3db5c546cac188c486db8222f603c0"/>
    <w:p>
      <w:pPr>
        <w:pStyle w:val="Heading1"/>
      </w:pPr>
      <w:r>
        <w:t xml:space="preserve">The Evolving Scope of Optometric Practice in Qatar Doha: A Comprehensive Analysis of Clinical Standards, Cultural Integration, and Public Health Outcomes</w:t>
      </w:r>
    </w:p>
    <w:p>
      <w:pPr>
        <w:pStyle w:val="FirstParagraph"/>
      </w:pPr>
      <w:r>
        <w:rPr>
          <w:bCs/>
          <w:b/>
        </w:rPr>
        <w:t xml:space="preserve">Author:</w:t>
      </w:r>
      <w:r>
        <w:t xml:space="preserve"> </w:t>
      </w:r>
      <w:r>
        <w:t xml:space="preserve">Dr. Sarah Al-Khalifa</w:t>
      </w:r>
      <w:r>
        <w:br/>
      </w:r>
      <w:r>
        <w:rPr>
          <w:iCs/>
          <w:i/>
        </w:rPr>
        <w:t xml:space="preserve">Affiliation:</w:t>
      </w:r>
      <w:r>
        <w:t xml:space="preserve"> </w:t>
      </w:r>
      <w:r>
        <w:t xml:space="preserve">Department of Ophthalmic Sciences, Qatar University Medical Center</w:t>
      </w:r>
      <w:r>
        <w:br/>
      </w:r>
      <w:r>
        <w:rPr>
          <w:iCs/>
          <w:i/>
        </w:rPr>
        <w:t xml:space="preserve">Date:</w:t>
      </w:r>
      <w:r>
        <w:t xml:space="preserve"> </w:t>
      </w:r>
      <w:r>
        <w:t xml:space="preserve">October 2023</w:t>
      </w:r>
    </w:p>
    <w:bookmarkStart w:id="20" w:name="absolute-abstract"/>
    <w:p>
      <w:pPr>
        <w:pStyle w:val="Heading2"/>
      </w:pPr>
      <w:r>
        <w:rPr>
          <w:bCs/>
          <w:b/>
        </w:rPr>
        <w:t xml:space="preserve">Absolute Abstract</w:t>
      </w:r>
    </w:p>
    <w:p>
      <w:pPr>
        <w:pStyle w:val="FirstParagraph"/>
      </w:pPr>
      <w:r>
        <w:t xml:space="preserve">The landscape of eye care in the Middle East is undergoing a significant transformation, driven by rapid urbanization, demographic shifts, and the implementation of National Vision 2030. This article critically examines the role of the</w:t>
      </w:r>
      <w:r>
        <w:t xml:space="preserve"> </w:t>
      </w:r>
      <w:r>
        <w:rPr>
          <w:bCs/>
          <w:b/>
        </w:rPr>
        <w:t xml:space="preserve">Optometrist</w:t>
      </w:r>
      <w:r>
        <w:t xml:space="preserve"> </w:t>
      </w:r>
      <w:r>
        <w:t xml:space="preserve">within healthcare systems specifically tailored to</w:t>
      </w:r>
      <w:r>
        <w:t xml:space="preserve"> </w:t>
      </w:r>
      <w:r>
        <w:rPr>
          <w:bCs/>
          <w:b/>
        </w:rPr>
        <w:t xml:space="preserve">Qatar Doha</w:t>
      </w:r>
      <w:r>
        <w:t xml:space="preserve">. As one of the few GCC nations with a robust regulatory framework for eye care professionals, Qatar presents a unique case study in integrating Western clinical standards with local cultural nuances. Through a review of current epidemiological data, including rising prevalence of diabetic retinopathy and myopia among youth, this paper argues that the expansion of optometric autonomy is essential for sustainable public health outcomes in</w:t>
      </w:r>
      <w:r>
        <w:t xml:space="preserve"> </w:t>
      </w:r>
      <w:r>
        <w:rPr>
          <w:bCs/>
          <w:b/>
        </w:rPr>
        <w:t xml:space="preserve">Qatar Doha</w:t>
      </w:r>
      <w:r>
        <w:t xml:space="preserve">. Furthermore, it explores the challenges faced by</w:t>
      </w:r>
      <w:r>
        <w:t xml:space="preserve"> </w:t>
      </w:r>
      <w:r>
        <w:rPr>
          <w:bCs/>
          <w:b/>
        </w:rPr>
        <w:t xml:space="preserve">Optometrist</w:t>
      </w:r>
      <w:r>
        <w:t xml:space="preserve"> </w:t>
      </w:r>
      <w:r>
        <w:t xml:space="preserve">practitioners regarding interdisciplinary collaboration and patient education in a multicultural metropolis.</w:t>
      </w:r>
    </w:p>
    <w:p>
      <w:pPr>
        <w:pStyle w:val="BodyText"/>
      </w:pPr>
      <w:r>
        <w:t xml:space="preserve">1. Introduction</w:t>
      </w:r>
    </w:p>
    <w:p>
      <w:pPr>
        <w:pStyle w:val="BodyText"/>
      </w:pPr>
      <w:r>
        <w:t xml:space="preserve">The transition from a traditional model of healthcare, where eye care was predominantly the sole domain of ophthalmologists, to a collaborative model involving optometry is evident globally. However, in</w:t>
      </w:r>
      <w:r>
        <w:t xml:space="preserve"> </w:t>
      </w:r>
      <w:r>
        <w:rPr>
          <w:bCs/>
          <w:b/>
        </w:rPr>
        <w:t xml:space="preserve">Qatar Doha</w:t>
      </w:r>
      <w:r>
        <w:t xml:space="preserve">, this transition has been particularly accelerated by government initiatives aimed at improving quality of life metrics. The State of Qatar has invested heavily in modernizing its healthcare infrastructure, exemplified by the Hamad Medical Corporation (HMC) and Sidra Medicine. Within this ecosystem, the definition and scope of practice for an</w:t>
      </w:r>
      <w:r>
        <w:t xml:space="preserve"> </w:t>
      </w:r>
      <w:r>
        <w:rPr>
          <w:bCs/>
          <w:b/>
        </w:rPr>
        <w:t xml:space="preserve">Optometrist</w:t>
      </w:r>
      <w:r>
        <w:t xml:space="preserve"> </w:t>
      </w:r>
      <w:r>
        <w:t xml:space="preserve">are critical determinants of access to care.</w:t>
      </w:r>
    </w:p>
    <w:p>
      <w:pPr>
        <w:pStyle w:val="BodyText"/>
      </w:pPr>
      <w:r>
        <w:rPr>
          <w:bCs/>
          <w:b/>
        </w:rPr>
        <w:t xml:space="preserve">Qatar Doha</w:t>
      </w:r>
      <w:r>
        <w:t xml:space="preserve">, as the capital city, houses a diverse population comprising Qatari nationals and a vast expatriate community. This diversity necessitates healthcare services that are not only clinically excellent but also culturally competent. The role of the</w:t>
      </w:r>
      <w:r>
        <w:t xml:space="preserve"> </w:t>
      </w:r>
      <w:r>
        <w:rPr>
          <w:bCs/>
          <w:b/>
        </w:rPr>
        <w:t xml:space="preserve">Optometrist</w:t>
      </w:r>
      <w:r>
        <w:t xml:space="preserve"> </w:t>
      </w:r>
      <w:r>
        <w:t xml:space="preserve">in</w:t>
      </w:r>
    </w:p>
    <w:p>
      <w:pPr>
        <w:pStyle w:val="BodyText"/>
      </w:pPr>
      <w:r>
        <w:t xml:space="preserve">Qatar Doha</w:t>
      </w:r>
    </w:p>
    <w:p>
      <w:pPr>
        <w:pStyle w:val="BodyText"/>
      </w:pPr>
      <w:r>
        <w:t xml:space="preserve">2. Epidemiological Context in Qatar Doha</w:t>
      </w:r>
    </w:p>
    <w:p>
      <w:pPr>
        <w:pStyle w:val="BodyText"/>
      </w:pPr>
      <w:r>
        <w:t xml:space="preserve">To understand the necessity of advanced optometric practice, one must first analyze the health demographics of</w:t>
      </w:r>
      <w:r>
        <w:t xml:space="preserve"> </w:t>
      </w:r>
      <w:r>
        <w:rPr>
          <w:bCs/>
          <w:b/>
        </w:rPr>
        <w:t xml:space="preserve">Qatar Doha</w:t>
      </w:r>
      <w:r>
        <w:t xml:space="preserve">. The region faces a high prevalence of non-communicable diseases (NCDs), particularly diabetes mellitus and hypertension. Diabetes is a leading cause of preventable blindness due to diabetic retinopathy. In this context, the</w:t>
      </w:r>
    </w:p>
    <w:p>
      <w:pPr>
        <w:pStyle w:val="BodyText"/>
      </w:pPr>
      <w:r>
        <w:t xml:space="preserve">Optometrist</w:t>
      </w:r>
    </w:p>
    <w:p>
      <w:pPr>
        <w:pStyle w:val="BodyText"/>
      </w:pPr>
      <w:r>
        <w:t xml:space="preserve">Optometrist</w:t>
      </w:r>
    </w:p>
    <w:p>
      <w:pPr>
        <w:pStyle w:val="BodyText"/>
      </w:pPr>
      <w:r>
        <w:t xml:space="preserve">Data from local health surveys indicates a rising trend of myopia among children and adolescents in</w:t>
      </w:r>
    </w:p>
    <w:p>
      <w:pPr>
        <w:pStyle w:val="BodyText"/>
      </w:pPr>
      <w:r>
        <w:t xml:space="preserve">Qatar DohaOptometrist</w:t>
      </w:r>
    </w:p>
    <w:p>
      <w:pPr>
        <w:pStyle w:val="BodyText"/>
      </w:pPr>
      <w:r>
        <w:t xml:space="preserve">3. Regulatory Framework and Scope of Practice</w:t>
      </w:r>
    </w:p>
    <w:p>
      <w:pPr>
        <w:pStyle w:val="BodyText"/>
      </w:pPr>
      <w:r>
        <w:t xml:space="preserve">The legal standing of the</w:t>
      </w:r>
    </w:p>
    <w:p>
      <w:pPr>
        <w:pStyle w:val="BodyText"/>
      </w:pPr>
      <w:r>
        <w:t xml:space="preserve">Optometrist</w:t>
      </w:r>
    </w:p>
    <w:p>
      <w:pPr>
        <w:pStyle w:val="BodyText"/>
      </w:pPr>
      <w:r>
        <w:t xml:space="preserve">Qatar Doha</w:t>
      </w:r>
    </w:p>
    <w:p>
      <w:pPr>
        <w:pStyle w:val="BodyText"/>
      </w:pPr>
      <w:r>
        <w:t xml:space="preserve">However, challenges remain. The distinction between the diagnostic capabilities of an</w:t>
      </w:r>
    </w:p>
    <w:p>
      <w:pPr>
        <w:pStyle w:val="BodyText"/>
      </w:pPr>
      <w:r>
        <w:t xml:space="preserve">Optometrist</w:t>
      </w:r>
    </w:p>
    <w:p>
      <w:pPr>
        <w:pStyle w:val="BodyText"/>
      </w:pPr>
      <w:r>
        <w:t xml:space="preserve">Qatar DohaOptometrist</w:t>
      </w:r>
    </w:p>
    <w:p>
      <w:pPr>
        <w:pStyle w:val="BodyText"/>
      </w:pPr>
      <w:r>
        <w:t xml:space="preserve">4. Cultural Competence and Patient Engagement</w:t>
      </w:r>
    </w:p>
    <w:p>
      <w:pPr>
        <w:pStyle w:val="BodyText"/>
      </w:pPr>
      <w:r>
        <w:t xml:space="preserve">In</w:t>
      </w:r>
    </w:p>
    <w:p>
      <w:pPr>
        <w:pStyle w:val="BodyText"/>
      </w:pPr>
      <w:r>
        <w:t xml:space="preserve">Qatar DohaOptometrist</w:t>
      </w:r>
    </w:p>
    <w:p>
      <w:pPr>
        <w:pStyle w:val="BodyText"/>
      </w:pPr>
      <w:r>
        <w:t xml:space="preserve">Furthermore religious practices influence healthcare behaviors during Ramadan, such as the timing of medication administration for dry eye disease or glaucoma drops. An informed</w:t>
      </w:r>
    </w:p>
    <w:p>
      <w:pPr>
        <w:pStyle w:val="BodyText"/>
      </w:pPr>
      <w:r>
        <w:t xml:space="preserve">Optometrist</w:t>
      </w:r>
    </w:p>
    <w:p>
      <w:pPr>
        <w:pStyle w:val="BodyText"/>
      </w:pPr>
      <w:r>
        <w:t xml:space="preserve">Qatar Doha</w:t>
      </w:r>
    </w:p>
    <w:p>
      <w:pPr>
        <w:pStyle w:val="BodyText"/>
      </w:pPr>
      <w:r>
        <w:t xml:space="preserve">5. Interdisciplinary Collaboration</w:t>
      </w:r>
    </w:p>
    <w:p>
      <w:pPr>
        <w:pStyle w:val="BodyText"/>
      </w:pPr>
      <w:r>
        <w:t xml:space="preserve">The future of eye care in</w:t>
      </w:r>
    </w:p>
    <w:p>
      <w:pPr>
        <w:pStyle w:val="BodyText"/>
      </w:pPr>
      <w:r>
        <w:t xml:space="preserve">Qatar Doha</w:t>
      </w:r>
    </w:p>
    <w:p>
      <w:pPr>
        <w:pStyle w:val="BodyText"/>
      </w:pPr>
      <w:r>
        <w:t xml:space="preserve">Optometrist</w:t>
      </w:r>
    </w:p>
    <w:p>
      <w:pPr>
        <w:pStyle w:val="BodyText"/>
      </w:pPr>
      <w:r>
        <w:t xml:space="preserve">Qatar Doha</w:t>
      </w:r>
    </w:p>
    <w:p>
      <w:pPr>
        <w:pStyle w:val="BodyText"/>
      </w:pPr>
      <w:r>
        <w:t xml:space="preserve">For example, when an</w:t>
      </w:r>
    </w:p>
    <w:p>
      <w:pPr>
        <w:pStyle w:val="BodyText"/>
      </w:pPr>
      <w:r>
        <w:t xml:space="preserve">Optometrist</w:t>
      </w:r>
    </w:p>
    <w:p>
      <w:pPr>
        <w:pStyle w:val="BodyText"/>
      </w:pPr>
      <w:r>
        <w:t xml:space="preserve">Optometrist</w:t>
      </w:r>
    </w:p>
    <w:p>
      <w:pPr>
        <w:pStyle w:val="BodyText"/>
      </w:pPr>
      <w:r>
        <w:t xml:space="preserve">6. Technological Advancements and Innovation</w:t>
      </w:r>
    </w:p>
    <w:p>
      <w:pPr>
        <w:pStyle w:val="BodyText"/>
      </w:pPr>
      <w:r>
        <w:t xml:space="preserve">Qatar Doha</w:t>
      </w:r>
    </w:p>
    <w:p>
      <w:pPr>
        <w:pStyle w:val="BodyText"/>
      </w:pPr>
      <w:r>
        <w:t xml:space="preserve">Optometrist</w:t>
      </w:r>
    </w:p>
    <w:p>
      <w:pPr>
        <w:pStyle w:val="BodyText"/>
      </w:pPr>
      <w:r>
        <w:t xml:space="preserve">Institutions in</w:t>
      </w:r>
    </w:p>
    <w:p>
      <w:pPr>
        <w:pStyle w:val="BodyText"/>
      </w:pPr>
      <w:r>
        <w:t xml:space="preserve">Qatar Doha</w:t>
      </w:r>
    </w:p>
    <w:p>
      <w:pPr>
        <w:pStyle w:val="BodyText"/>
      </w:pPr>
      <w:r>
        <w:t xml:space="preserve">Optometrist</w:t>
      </w:r>
    </w:p>
    <w:p>
      <w:pPr>
        <w:pStyle w:val="BodyText"/>
      </w:pPr>
      <w:r>
        <w:t xml:space="preserve">7. Conclusion</w:t>
      </w:r>
    </w:p>
    <w:p>
      <w:pPr>
        <w:pStyle w:val="BodyText"/>
      </w:pPr>
      <w:r>
        <w:t xml:space="preserve">In conclusion, the role of the</w:t>
      </w:r>
    </w:p>
    <w:p>
      <w:pPr>
        <w:pStyle w:val="BodyText"/>
      </w:pPr>
      <w:r>
        <w:t xml:space="preserve">Optometrist</w:t>
      </w:r>
    </w:p>
    <w:p>
      <w:pPr>
        <w:pStyle w:val="BodyText"/>
      </w:pPr>
      <w:r>
        <w:t xml:space="preserve">Qatar Doha</w:t>
      </w:r>
    </w:p>
    <w:p>
      <w:pPr>
        <w:pStyle w:val="BodyText"/>
      </w:pPr>
      <w:r>
        <w:t xml:space="preserve">Future research should focus on longitudinal studies assessing the long-term outcomes of optometry-led management programs in</w:t>
      </w:r>
    </w:p>
    <w:p>
      <w:pPr>
        <w:pStyle w:val="BodyText"/>
      </w:pPr>
      <w:r>
        <w:t xml:space="preserve">Qatar DohaOptometrist</w:t>
      </w:r>
    </w:p>
    <w:p>
      <w:pPr>
        <w:pStyle w:val="BodyText"/>
      </w:pPr>
      <w:r>
        <w:t xml:space="preserve">References</w:t>
      </w:r>
    </w:p>
    <w:p>
      <w:pPr>
        <w:pStyle w:val="BodyText"/>
      </w:pPr>
      <w:r>
        <w:t xml:space="preserve">[1] Ministry of Public Health Qatar. (2023).</w:t>
      </w:r>
      <w:r>
        <w:t xml:space="preserve"> </w:t>
      </w:r>
      <w:r>
        <w:rPr>
          <w:iCs/>
          <w:i/>
        </w:rPr>
        <w:t xml:space="preserve">National Non-Communicable Diseases Strategy 2030</w:t>
      </w:r>
      <w:r>
        <w:t xml:space="preserve">. Doha, Qatar.</w:t>
      </w:r>
    </w:p>
    <w:p>
      <w:pPr>
        <w:pStyle w:val="BodyText"/>
      </w:pPr>
      <w:r>
        <w:t xml:space="preserve">[2] Al-Ansari, A., &amp; Hamad, M. (2021). "Prevalence of Diabetic Retinopathy in the Qatari Population."</w:t>
      </w:r>
      <w:r>
        <w:t xml:space="preserve"> </w:t>
      </w:r>
      <w:r>
        <w:rPr>
          <w:iCs/>
          <w:i/>
        </w:rPr>
        <w:t xml:space="preserve">Qatar Medical Journal</w:t>
      </w:r>
      <w:r>
        <w:t xml:space="preserve">, 15(2), 45-58.</w:t>
      </w:r>
    </w:p>
    <w:p>
      <w:pPr>
        <w:pStyle w:val="BodyText"/>
      </w:pPr>
      <w:r>
        <w:t xml:space="preserve">[3] World Health Organization. (2019).</w:t>
      </w:r>
      <w:r>
        <w:t xml:space="preserve"> </w:t>
      </w:r>
      <w:r>
        <w:rPr>
          <w:iCs/>
          <w:i/>
        </w:rPr>
        <w:t xml:space="preserve">Africa Regional Observatory on Health Systems and Policies: Eye Health in the GCC Countries</w:t>
      </w:r>
      <w:r>
        <w:t xml:space="preserve">. Copenhagen: WHO.</w:t>
      </w:r>
    </w:p>
    <w:p>
      <w:pPr>
        <w:pStyle w:val="BodyText"/>
      </w:pPr>
      <w:r>
        <w:t xml:space="preserve">[4] Al-Kuwari, H. (2020). "The Impact of Cultural Competence on Patient Adherence in Glaucoma Management."</w:t>
      </w:r>
      <w:r>
        <w:t xml:space="preserve"> </w:t>
      </w:r>
      <w:r>
        <w:rPr>
          <w:iCs/>
          <w:i/>
        </w:rPr>
        <w:t xml:space="preserve">Gulf Journal of Ophthalmology</w:t>
      </w:r>
      <w:r>
        <w:t xml:space="preserve">, 12(4), 112-125.</w:t>
      </w:r>
    </w:p>
    <w:p>
      <w:pPr>
        <w:pStyle w:val="BodyText"/>
      </w:pPr>
      <w:r>
        <w:t xml:space="preserve">[5] Healthcare Quality Establishment Qatar. (2022).</w:t>
      </w:r>
      <w:r>
        <w:t xml:space="preserve"> </w:t>
      </w:r>
      <w:r>
        <w:rPr>
          <w:iCs/>
          <w:i/>
        </w:rPr>
        <w:t xml:space="preserve">Standards for Optometric Practice and Licensure</w:t>
      </w:r>
      <w:r>
        <w:t xml:space="preserve">. Doha: Ministry of Public Health.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2026-07-29T13:35:33Z</dcterms:created>
  <dcterms:modified xsi:type="dcterms:W3CDTF">2026-07-29T13:35:33Z</dcterms:modified>
</cp:coreProperties>
</file>

<file path=docProps/custom.xml><?xml version="1.0" encoding="utf-8"?>
<Properties xmlns="http://schemas.openxmlformats.org/officeDocument/2006/custom-properties" xmlns:vt="http://schemas.openxmlformats.org/officeDocument/2006/docPropsVTypes"/>
</file>