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United</w:t>
      </w:r>
      <w:r>
        <w:t xml:space="preserve"> </w:t>
      </w:r>
      <w:r>
        <w:t xml:space="preserve">Kingdom</w:t>
      </w:r>
      <w:r>
        <w:t xml:space="preserve"> </w:t>
      </w:r>
      <w:r>
        <w:t xml:space="preserve">Birmingham:</w:t>
      </w:r>
      <w:r>
        <w:t xml:space="preserve"> </w:t>
      </w:r>
      <w:r>
        <w:t xml:space="preserve">Clinical</w:t>
      </w:r>
      <w:r>
        <w:t xml:space="preserve"> </w:t>
      </w:r>
      <w:r>
        <w:t xml:space="preserve">Standards,</w:t>
      </w:r>
      <w:r>
        <w:t xml:space="preserve"> </w:t>
      </w:r>
      <w:r>
        <w:t xml:space="preserve">Public</w:t>
      </w:r>
      <w:r>
        <w:t xml:space="preserve"> </w:t>
      </w:r>
      <w:r>
        <w:t xml:space="preserve">Health</w:t>
      </w:r>
      <w:r>
        <w:t xml:space="preserve"> </w:t>
      </w:r>
      <w:r>
        <w:t xml:space="preserve">Integration,</w:t>
      </w:r>
      <w:r>
        <w:t xml:space="preserve"> </w:t>
      </w:r>
      <w:r>
        <w:t xml:space="preserve">and</w:t>
      </w:r>
      <w:r>
        <w:t xml:space="preserve"> </w:t>
      </w:r>
      <w:r>
        <w:t xml:space="preserve">Educational</w:t>
      </w:r>
      <w:r>
        <w:t xml:space="preserve"> </w:t>
      </w:r>
      <w:r>
        <w:t xml:space="preserve">Rigour</w:t>
      </w:r>
    </w:p>
    <w:bookmarkStart w:id="30" w:name="Xda37f5a6b8dddaae17344ab7596e46649125179"/>
    <w:p>
      <w:pPr>
        <w:pStyle w:val="Heading1"/>
      </w:pPr>
      <w:r>
        <w:t xml:space="preserve">The Evolving Role of the Optometrist in United Kingdom Birmingham: Clinical Standards, Public Health Integration, and Educational Rigour</w:t>
      </w:r>
    </w:p>
    <w:p>
      <w:pPr>
        <w:pStyle w:val="FirstParagraph"/>
      </w:pPr>
      <w:r>
        <w:rPr>
          <w:bCs/>
          <w:b/>
        </w:rPr>
        <w:t xml:space="preserve">Dr. A. J. Sterling</w:t>
      </w:r>
      <w:r>
        <w:br/>
      </w:r>
      <w:r>
        <w:t xml:space="preserve">Department of Ophthalmic Sciences,</w:t>
      </w:r>
      <w:r>
        <w:br/>
      </w:r>
      <w:r>
        <w:t xml:space="preserve">Institute of Applied Health Research,</w:t>
      </w:r>
      <w:r>
        <w:br/>
      </w:r>
      <w:r>
        <w:t xml:space="preserve">University of Birmingham, United Kingdom</w:t>
      </w:r>
    </w:p>
    <w:p>
      <w:pPr>
        <w:pStyle w:val="BodyText"/>
      </w:pPr>
      <w:r>
        <w:rPr>
          <w:u w:val="single"/>
          <w:bCs/>
          <w:b/>
        </w:rPr>
        <w:t xml:space="preserve">Abstract:</w:t>
      </w:r>
    </w:p>
    <w:p>
      <w:pPr>
        <w:pStyle w:val="BodyText"/>
      </w:pPr>
      <w:r>
        <w:t xml:space="preserve">This article examines the contemporary scope of practice for the Optometrist within the distinct socio-demographic and healthcare framework of United Kingdom Birmingham. As a major urban centre with significant ethnic diversity and varying socioeconomic stratifications, Birmingham presents unique challenges and opportunities for primary eye care. The study analyses how registered Optometrists in this region navigate complex public health mandates, including the management of sight-threatening conditions such as glaucoma, diabetic retinopathy, and age-related macular degeneration. Furthermore, it evaluates the integration of NHS optical services within local Integrated Care Systems (ICS) and discusses the impact of regulatory standards set by the General Optical Council (GOC). The findings suggest that while Birmingham’s Optometrists play a pivotal role in reducing health inequalities through accessible primary care, systemic barriers regarding referral pathways and resource allocation remain significant hurdles to optimal patient outcomes.</w:t>
      </w:r>
    </w:p>
    <w:p>
      <w:pPr>
        <w:pStyle w:val="BodyText"/>
      </w:pPr>
      <w:r>
        <w:t xml:space="preserve">Keywords:</w:t>
      </w:r>
      <w:r>
        <w:t xml:space="preserve"> </w:t>
      </w:r>
      <w:r>
        <w:t xml:space="preserve">Optometrist, United Kingdom Birmingham, NHS Primary Eye Care, Health Inequalities, General Optical Council</w:t>
      </w:r>
    </w:p>
    <w:bookmarkStart w:id="20" w:name="i.-introduction"/>
    <w:p>
      <w:pPr>
        <w:pStyle w:val="Heading2"/>
      </w:pPr>
      <w:r>
        <w:t xml:space="preserve">I. Introduction</w:t>
      </w:r>
    </w:p>
    <w:p>
      <w:pPr>
        <w:pStyle w:val="FirstParagraph"/>
      </w:pPr>
      <w:r>
        <w:t xml:space="preserve">The landscape of primary eye care in the United Kingdom has undergone profound transformation over the past two decades. Central to this evolution is the role of the Optometrist, a profession that has expanded its clinical remit far beyond routine refractive error correction and spectacle dispensing. Nowhere is this transition more critical than in Birmingham, a city within the West Midlands of England that serves as one of the largest metropolitan areas outside of London. With a population exceeding one million, characterized by exceptional cultural diversity and distinct public health challenges, Birmingham provides a microcosm for understanding the broader trends affecting Optometrists across the UK.</w:t>
      </w:r>
    </w:p>
    <w:p>
      <w:pPr>
        <w:pStyle w:val="BodyText"/>
      </w:pPr>
      <w:r>
        <w:t xml:space="preserve">In recent years, policy shifts within the National Health Service (NHS) have empowered Optometrists to take on greater responsibilities in diagnostic imaging and clinical management. This article aims to critically assess how these national policies manifest locally in Birmingham. It explores the specific duties, ethical obligations, and community impact of the modern Optometrist operating within this dynamic urban environment.</w:t>
      </w:r>
    </w:p>
    <w:bookmarkEnd w:id="20"/>
    <w:bookmarkStart w:id="21" w:name="X8f0cbe37ff824554eb441e538a893df7558f6d3"/>
    <w:p>
      <w:pPr>
        <w:pStyle w:val="Heading2"/>
      </w:pPr>
      <w:r>
        <w:t xml:space="preserve">II. The Regulatory Framework and Professional Standards</w:t>
      </w:r>
    </w:p>
    <w:p>
      <w:pPr>
        <w:pStyle w:val="FirstParagraph"/>
      </w:pPr>
      <w:r>
        <w:t xml:space="preserve">All practice as an Optometrist in the United Kingdom is governed by strict regulatory standards established by the General Optical Council (GOC). For practitioners in Birmingham, adherence to these guidelines is not merely a bureaucratic requirement but a cornerstone of patient safety and professional integrity. The GOC’s "Standards for Opticians" mandate rigorous competence in clinical examination, accurate diagnosis, and appropriate management of eye conditions.</w:t>
      </w:r>
    </w:p>
    <w:p>
      <w:pPr>
        <w:pStyle w:val="BodyText"/>
      </w:pPr>
      <w:r>
        <w:t xml:space="preserve">In the context of Birmingham’s diverse population, the role of the Optometrist requires high levels cultural competence alongside clinical skill. Patients in this region may present with language barriers or varying health literacy levels. Consequently, an Optometrist must not only identify pathology but also ensure that educational materials and communication strategies are accessible to individuals from various ethnic backgrounds, including significant South Asian, African Caribbean, and Eastern European communities prevalent in the city.</w:t>
      </w:r>
    </w:p>
    <w:bookmarkEnd w:id="21"/>
    <w:bookmarkStart w:id="25" w:name="X28e03788501aab3dd23dc000a19b3ad919bb445"/>
    <w:p>
      <w:pPr>
        <w:pStyle w:val="Heading2"/>
      </w:pPr>
      <w:r>
        <w:t xml:space="preserve">III. Public Health Challenges in Birmingham</w:t>
      </w:r>
    </w:p>
    <w:bookmarkStart w:id="22" w:name="a.-diabetic-retinopathy-screening"/>
    <w:p>
      <w:pPr>
        <w:pStyle w:val="Heading3"/>
      </w:pPr>
      <w:r>
        <w:t xml:space="preserve">A. Diabetic Retinopathy Screening</w:t>
      </w:r>
    </w:p>
    <w:p>
      <w:pPr>
        <w:pStyle w:val="FirstParagraph"/>
      </w:pPr>
      <w:r>
        <w:t xml:space="preserve">Birmingham has one of the highest prevalences of Type 2 diabetes in Europe, particularly within certain deprived wards such as Ladywood and Aston. The role of the Optometrist is critical in the early detection and management of diabetic retinopathy (DR). Under current NHS contracts, community-based Optometry services are increasingly integrated with regional screening programmes. For an Optometrist working in Birmingham, this involves utilizing digital retinal photography and AI-assisted analysis to screen high-risk patients. The ability to distinguish between non-proliferative and proliferative DR is essential, as timely referral to ophthalmologists can prevent irreversible blindness.</w:t>
      </w:r>
    </w:p>
    <w:bookmarkEnd w:id="22"/>
    <w:bookmarkStart w:id="23" w:name="b.-glaucoma-suspect-management"/>
    <w:p>
      <w:pPr>
        <w:pStyle w:val="Heading3"/>
      </w:pPr>
      <w:r>
        <w:t xml:space="preserve">B. Glaucoma Suspect Management</w:t>
      </w:r>
    </w:p>
    <w:p>
      <w:pPr>
        <w:pStyle w:val="FirstParagraph"/>
      </w:pPr>
      <w:r>
        <w:t xml:space="preserve">Glaucoma remains a leading cause of irreversible blindness globally, and its prevalence is disproportionately higher in populations of African descent, which forms a substantial demographic within Birmingham. The Optometrist plays a vital role in the "Glaucoma Suspect" pathway. Rather than immediately referring every patient with elevated intraocular pressure to secondary care—which often creates bottlenecks—the NHS allows trained Optometrists to monitor these patients under specific protocols. This shift alleviates pressure on hospital services while ensuring continuous surveillance for Birmingham residents at risk.</w:t>
      </w:r>
    </w:p>
    <w:bookmarkEnd w:id="23"/>
    <w:bookmarkStart w:id="24" w:name="c.-age-related-macular-degeneration-amd"/>
    <w:p>
      <w:pPr>
        <w:pStyle w:val="Heading3"/>
      </w:pPr>
      <w:r>
        <w:t xml:space="preserve">C. Age-Related Macular Degeneration (AMD)</w:t>
      </w:r>
    </w:p>
    <w:p>
      <w:pPr>
        <w:pStyle w:val="FirstParagraph"/>
      </w:pPr>
      <w:r>
        <w:t xml:space="preserve">As the population in Birmingham ages, the incidence of AMD rises. Optometrists are often the first point of contact for patients noticing visual distortions or central scotomas. The application of advanced diagnostic tools, such as Optical Coherence Tomography (OCT), now common in many Birmingham optical practices, allows Optometrists to detect subretinal fluid indicative of wet AMD rapidly. Early identification facilitates prompt anti-VEGF treatment, significantly improving visual prognosis.</w:t>
      </w:r>
    </w:p>
    <w:bookmarkEnd w:id="24"/>
    <w:bookmarkEnd w:id="25"/>
    <w:bookmarkStart w:id="26" w:name="X6e24d0446ba3a72b8774c7f194684f0d6b14885"/>
    <w:p>
      <w:pPr>
        <w:pStyle w:val="Heading2"/>
      </w:pPr>
      <w:r>
        <w:t xml:space="preserve">IV. Education and Continuing Professional Development</w:t>
      </w:r>
    </w:p>
    <w:p>
      <w:pPr>
        <w:pStyle w:val="FirstParagraph"/>
      </w:pPr>
      <w:r>
        <w:t xml:space="preserve">The expansion of the Optometrist’s role necessitates robust educational frameworks. Birmingham is home to prestigious institutions, including the University of Birmingham, which offers advanced postgraduate degrees in Ophthalmic and Visual Sciences. The presence of such academic hubs influences local practice by fostering a culture of evidence-based medicine.</w:t>
      </w:r>
    </w:p>
    <w:p>
      <w:pPr>
        <w:pStyle w:val="BodyText"/>
      </w:pPr>
      <w:r>
        <w:t xml:space="preserve">For the practicing Optometrist in Birmingham, Continuing Professional Development (CPD) is mandatory. However, beyond mandatory hours, many professionals engage in specialized training provided by regional Academic Health Science Networks (AHSNs). These initiatives focus on upskilling Optometrists to manage complex comorbidities often seen in urban populations with high rates of cardiovascular disease and obesity.</w:t>
      </w:r>
    </w:p>
    <w:bookmarkEnd w:id="26"/>
    <w:bookmarkStart w:id="27" w:name="X18773901a5e32e607a8ef14be80047efd351bc6"/>
    <w:p>
      <w:pPr>
        <w:pStyle w:val="Heading2"/>
      </w:pPr>
      <w:r>
        <w:t xml:space="preserve">V. Socioeconomic Disparities and Access to Care</w:t>
      </w:r>
    </w:p>
    <w:p>
      <w:pPr>
        <w:pStyle w:val="FirstParagraph"/>
      </w:pPr>
      <w:r>
        <w:t xml:space="preserve">A critical aspect of the Optometrist’s role in Birmingham involves addressing health inequalities. Deprivation indices vary significantly across the city, directly impacting access to eye care. While NHS sight tests are free for certain groups (children, seniors, and those with specific medical conditions), out-of-pocket costs for frames and lenses can be prohibitive for low-income families.</w:t>
      </w:r>
    </w:p>
    <w:p>
      <w:pPr>
        <w:pStyle w:val="BodyText"/>
      </w:pPr>
      <w:r>
        <w:t xml:space="preserve">Optometrists in Birmingham often act as advocates within their practices, directing patients toward charitable organizations such as the Royal National Institute of Blind People (RNIB) or local community initiatives. Furthermore, there is a growing emphasis on "outreach optometry," where practitioners visit care homes and community centers in deprived areas to provide screenings for those who may not travel to traditional high-street practices. This proactive approach by the Optometrist helps mitigate disparities in eye health outcomes.</w:t>
      </w:r>
    </w:p>
    <w:bookmarkEnd w:id="27"/>
    <w:bookmarkStart w:id="28" w:name="vi.-conclusion"/>
    <w:p>
      <w:pPr>
        <w:pStyle w:val="Heading2"/>
      </w:pPr>
      <w:r>
        <w:t xml:space="preserve">VI. Conclusion</w:t>
      </w:r>
    </w:p>
    <w:p>
      <w:pPr>
        <w:pStyle w:val="FirstParagraph"/>
      </w:pPr>
      <w:r>
        <w:t xml:space="preserve">The Optometrist in United Kingdom Birmingham stands at the forefront of a healthcare revolution that prioritizes primary care delivery and early intervention. By leveraging advanced diagnostic technologies, adhering to stringent GOC standards, and responding sensitively to the city’s diverse demographic needs, these professionals are essential guardians of public eye health.</w:t>
      </w:r>
    </w:p>
    <w:p>
      <w:pPr>
        <w:pStyle w:val="BodyText"/>
      </w:pPr>
      <w:r>
        <w:t xml:space="preserve">However, challenges remain. The integration of optometric services with wider health systems requires sustained funding and political will. Future research should focus on longitudinal studies evaluating the long-term cost-effectiveness of extended roles for Optometrists in managing chronic ocular diseases within diverse urban settings like Birmingham. Ultimately, strengthening the position of the Optometrist is not just a professional aspiration but a public health imperative for ensuring equitable eye care access for all citizens.</w:t>
      </w:r>
    </w:p>
    <w:bookmarkEnd w:id="28"/>
    <w:bookmarkStart w:id="29" w:name="vii.-references"/>
    <w:p>
      <w:pPr>
        <w:pStyle w:val="Heading2"/>
      </w:pPr>
      <w:r>
        <w:t xml:space="preserve">VII. References</w:t>
      </w:r>
    </w:p>
    <w:p>
      <w:pPr>
        <w:pStyle w:val="FirstParagraph"/>
      </w:pPr>
      <w:r>
        <w:rPr>
          <w:iCs/>
          <w:i/>
        </w:rPr>
        <w:t xml:space="preserve">(Note: The following references are illustrative of standard academic formatting for this field)</w:t>
      </w:r>
    </w:p>
    <w:p>
      <w:pPr>
        <w:numPr>
          <w:ilvl w:val="0"/>
          <w:numId w:val="1001"/>
        </w:numPr>
        <w:pStyle w:val="Compact"/>
      </w:pPr>
      <w:r>
        <w:t xml:space="preserve">1. General Optical Council (GOC). (2023).</w:t>
      </w:r>
      <w:r>
        <w:t xml:space="preserve"> </w:t>
      </w:r>
      <w:r>
        <w:rPr>
          <w:bCs/>
          <w:b/>
        </w:rPr>
        <w:t xml:space="preserve">Standards for Opticians.</w:t>
      </w:r>
      <w:r>
        <w:t xml:space="preserve"> </w:t>
      </w:r>
      <w:r>
        <w:t xml:space="preserve">London: GOC Publishing.</w:t>
      </w:r>
    </w:p>
    <w:p>
      <w:pPr>
        <w:numPr>
          <w:ilvl w:val="0"/>
          <w:numId w:val="1001"/>
        </w:numPr>
        <w:pStyle w:val="Compact"/>
      </w:pPr>
      <w:r>
        <w:t xml:space="preserve">2. National Institute for Health and Care Excellence (NICE). (2021).</w:t>
      </w:r>
      <w:r>
        <w:t xml:space="preserve"> </w:t>
      </w:r>
      <w:r>
        <w:rPr>
          <w:bCs/>
          <w:b/>
        </w:rPr>
        <w:t xml:space="preserve">Glaucoma: Suspected or Diagnosed Management in Adults, Children and Young People.</w:t>
      </w:r>
      <w:r>
        <w:t xml:space="preserve"> </w:t>
      </w:r>
      <w:r>
        <w:t xml:space="preserve">NICE Guideline [NG81].</w:t>
      </w:r>
    </w:p>
    <w:p>
      <w:pPr>
        <w:numPr>
          <w:ilvl w:val="0"/>
          <w:numId w:val="1001"/>
        </w:numPr>
        <w:pStyle w:val="Compact"/>
      </w:pPr>
      <w:r>
        <w:t xml:space="preserve">3. Public Health England. (2022).</w:t>
      </w:r>
      <w:r>
        <w:t xml:space="preserve"> </w:t>
      </w:r>
      <w:r>
        <w:rPr>
          <w:bCs/>
          <w:b/>
        </w:rPr>
        <w:t xml:space="preserve">Determinants of Eye Health in Urban Populations.</w:t>
      </w:r>
      <w:r>
        <w:t xml:space="preserve"> </w:t>
      </w:r>
      <w:r>
        <w:t xml:space="preserve">Birmingham Regional Report.</w:t>
      </w:r>
    </w:p>
    <w:p>
      <w:pPr>
        <w:numPr>
          <w:ilvl w:val="0"/>
          <w:numId w:val="1001"/>
        </w:numPr>
        <w:pStyle w:val="Compact"/>
      </w:pPr>
      <w:r>
        <w:t xml:space="preserve">4. University of Birmingham, Institute of Applied Health Research. (2023).</w:t>
      </w:r>
      <w:r>
        <w:t xml:space="preserve"> </w:t>
      </w:r>
      <w:r>
        <w:rPr>
          <w:bCs/>
          <w:b/>
        </w:rPr>
        <w:t xml:space="preserve">The Impact of Socioeconomic Status on Ocular Outcomes in the West Midlands.</w:t>
      </w:r>
      <w:r>
        <w:t xml:space="preserve"> </w:t>
      </w:r>
      <w:r>
        <w:t xml:space="preserve">Journal of Public Health Optometry, 15(3), 112-125.</w:t>
      </w:r>
    </w:p>
    <w:p>
      <w:pPr>
        <w:numPr>
          <w:ilvl w:val="0"/>
          <w:numId w:val="1001"/>
        </w:numPr>
        <w:pStyle w:val="Compact"/>
      </w:pPr>
      <w:r>
        <w:t xml:space="preserve">5. NHS England. (2024).</w:t>
      </w:r>
      <w:r>
        <w:t xml:space="preserve"> </w:t>
      </w:r>
      <w:r>
        <w:rPr>
          <w:bCs/>
          <w:b/>
        </w:rPr>
        <w:t xml:space="preserve">NHS Optical Charges and Payments: Contractual Framework for Primary Eye Care.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United Kingdom Birmingham: Clinical Standards, Public Health Integration, and Educational Rigour</dc:title>
  <dc:creator/>
  <dc:language>en</dc:language>
  <cp:keywords/>
  <dcterms:created xsi:type="dcterms:W3CDTF">2026-07-29T17:32:29Z</dcterms:created>
  <dcterms:modified xsi:type="dcterms:W3CDTF">2026-07-29T17:32:29Z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