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Sydney</w:t>
      </w:r>
    </w:p>
    <w:bookmarkStart w:id="30" w:name="Xeb4f6cee735c6ea4bff5bd49f35ee823e15b081"/>
    <w:p>
      <w:pPr>
        <w:pStyle w:val="Heading1"/>
      </w:pPr>
      <w:r>
        <w:t xml:space="preserve">Clinical Excellence and Cultural Competency in Orthodontics: A Case Study of the Sydney Metropolitan Context</w:t>
      </w:r>
    </w:p>
    <w:p>
      <w:pPr>
        <w:pStyle w:val="FirstParagraph"/>
      </w:pPr>
      <w:r>
        <w:rPr>
          <w:bCs/>
          <w:b/>
        </w:rPr>
        <w:t xml:space="preserve">Author:</w:t>
      </w:r>
      <w:r>
        <w:t xml:space="preserve"> </w:t>
      </w:r>
      <w:r>
        <w:t xml:space="preserve">Dr. Jane Doe, PhD</w:t>
      </w:r>
      <w:r>
        <w:br/>
      </w:r>
      <w:r>
        <w:rPr>
          <w:bCs/>
          <w:b/>
        </w:rPr>
        <w:t xml:space="preserve">Affiliation:</w:t>
      </w:r>
      <w:r>
        <w:t xml:space="preserve"> </w:t>
      </w:r>
      <w:r>
        <w:t xml:space="preserve">Department of Oral Health Sciences, University of Sydney, Australia</w:t>
      </w:r>
    </w:p>
    <w:p>
      <w:pPr>
        <w:pStyle w:val="BodyText"/>
      </w:pPr>
      <w:r>
        <w:rPr>
          <w:bCs/>
          <w:b/>
        </w:rPr>
        <w:t xml:space="preserve">Abstract:</w:t>
      </w:r>
    </w:p>
    <w:p>
      <w:pPr>
        <w:pStyle w:val="BodyText"/>
      </w:pPr>
      <w:r>
        <w:t xml:space="preserve">This paper examines the current landscape of orthodontic practice within Australia, with a specific focus on the metropolitan hub of Sydney. As one of the most diverse and technologically advanced cities globally, Sydney presents unique challenges and opportunities for orthodontists. This article explores the integration of digital technologies, such as intraoral scanning and artificial intelligence-driven treatment planning, into standard clinical protocols. Furthermore, it addresses the critical importance of cultural competency in treating a multicultural patient population. By analyzing case studies from various clinics across Sydney’s Northern Beaches, Inner West, and Central Business District (CBD), this study highlights how modern orthodontists are adapting to meet the aesthetic demands and biological complexities of contemporary patients. The findings suggest that successful orthodontic outcomes in Australia are increasingly dependent not only on clinical skill but also on communication strategies tailored to a diverse demographic.</w:t>
      </w:r>
    </w:p>
    <w:p>
      <w:pPr>
        <w:pStyle w:val="BodyText"/>
      </w:pPr>
      <w:r>
        <w:rPr>
          <w:bCs/>
          <w:b/>
        </w:rPr>
        <w:t xml:space="preserve">Keywords:</w:t>
      </w:r>
    </w:p>
    <w:p>
      <w:pPr>
        <w:pStyle w:val="BodyText"/>
      </w:pPr>
      <w:r>
        <w:t xml:space="preserve">Orthodontist, Australia, Sydney, Digital Dentistry, Cultural Competency, Malocclusion Treatment</w:t>
      </w:r>
    </w:p>
    <w:bookmarkStart w:id="20" w:name="introduction"/>
    <w:p>
      <w:pPr>
        <w:pStyle w:val="Heading2"/>
      </w:pPr>
      <w:r>
        <w:t xml:space="preserve">1. Introduction</w:t>
      </w:r>
    </w:p>
    <w:p>
      <w:pPr>
        <w:pStyle w:val="FirstParagraph"/>
      </w:pPr>
      <w:r>
        <w:t xml:space="preserve">The field of orthodontics has undergone a profound transformation in the twenty-first century. No longer restricted to simple metal braces and manual adjustments, modern orthodontics is a sophisticated discipline integrating biomaterials, computer-aided design (CAD), and digital manufacturing. In Australia, this evolution is particularly evident in Sydney, a city that serves as both an economic powerhouse and a cultural melting pot for the Southern Hemisphere. For any</w:t>
      </w:r>
      <w:r>
        <w:t xml:space="preserve"> </w:t>
      </w:r>
      <w:r>
        <w:rPr>
          <w:bCs/>
          <w:b/>
        </w:rPr>
        <w:t xml:space="preserve">Orthodontist</w:t>
      </w:r>
      <w:r>
        <w:t xml:space="preserve"> </w:t>
      </w:r>
      <w:r>
        <w:t xml:space="preserve">practicing in this region, understanding the local demographic shifts and technological advancements is paramount.</w:t>
      </w:r>
    </w:p>
    <w:p>
      <w:pPr>
        <w:pStyle w:val="BodyText"/>
      </w:pPr>
      <w:r>
        <w:t xml:space="preserve">Sydney’s population dynamics are distinct. According to recent census data, a significant portion of residents were born overseas, leading to a diverse range of genetic backgrounds and oral health needs. Consequently, an</w:t>
      </w:r>
      <w:r>
        <w:t xml:space="preserve"> </w:t>
      </w:r>
      <w:r>
        <w:rPr>
          <w:bCs/>
          <w:b/>
        </w:rPr>
        <w:t xml:space="preserve">Orthodontist</w:t>
      </w:r>
      <w:r>
        <w:t xml:space="preserve"> </w:t>
      </w:r>
      <w:r>
        <w:t xml:space="preserve">in Sydney must possess not only technical proficiency but also a deep understanding of varied anatomical structures and cultural perceptions regarding dental aesthetics. This article aims to dissect these factors, providing insight into how the profession is adapting to serve the people of</w:t>
      </w:r>
      <w:r>
        <w:t xml:space="preserve"> </w:t>
      </w:r>
      <w:r>
        <w:rPr>
          <w:bCs/>
          <w:b/>
        </w:rPr>
        <w:t xml:space="preserve">Australia Sydney</w:t>
      </w:r>
      <w:r>
        <w:t xml:space="preserve">.</w:t>
      </w:r>
    </w:p>
    <w:bookmarkEnd w:id="20"/>
    <w:bookmarkStart w:id="23" w:name="Xdfbd72ed28fa04ea713427acdc3743fa5223c68"/>
    <w:p>
      <w:pPr>
        <w:pStyle w:val="Heading2"/>
      </w:pPr>
      <w:r>
        <w:t xml:space="preserve">2. The Technological Paradigm Shift in Sydney Clinics</w:t>
      </w:r>
    </w:p>
    <w:p>
      <w:pPr>
        <w:pStyle w:val="FirstParagraph"/>
      </w:pPr>
      <w:r>
        <w:t xml:space="preserve">The adoption of digital workflows has been rapid among orthodontic practices in Australia. In Sydney, where competition among private healthcare providers is high, clinics are leveraging technology to offer superior patient experiences and precise outcomes.</w:t>
      </w:r>
    </w:p>
    <w:bookmarkStart w:id="21" w:name="the-decline-of-traditional-impressions"/>
    <w:p>
      <w:pPr>
        <w:pStyle w:val="Heading3"/>
      </w:pPr>
      <w:r>
        <w:t xml:space="preserve">2.1 The Decline of Traditional Impressions</w:t>
      </w:r>
    </w:p>
    <w:p>
      <w:pPr>
        <w:pStyle w:val="FirstParagraph"/>
      </w:pPr>
      <w:r>
        <w:t xml:space="preserve">Gone are the days when patients in Sydney endured the discomfort of alginate impressions. Modern</w:t>
      </w:r>
      <w:r>
        <w:t xml:space="preserve"> </w:t>
      </w:r>
      <w:r>
        <w:rPr>
          <w:bCs/>
          <w:b/>
        </w:rPr>
        <w:t xml:space="preserve">Orthodontist</w:t>
      </w:r>
      <w:r>
        <w:t xml:space="preserve"> </w:t>
      </w:r>
      <w:r>
        <w:t xml:space="preserve">practices across suburbs like Chatswood, Bondi, and Parramatta now utilize intraoral scanners. These devices capture high-resolution 3D images of the dentition, allowing for immediate visualization by both the clinician and the patient. This shift is not merely aesthetic; it reduces clinical errors and improves patient comfort, which is a significant selling point in</w:t>
      </w:r>
      <w:r>
        <w:t xml:space="preserve"> </w:t>
      </w:r>
      <w:r>
        <w:rPr>
          <w:bCs/>
          <w:b/>
        </w:rPr>
        <w:t xml:space="preserve">Australia Sydney</w:t>
      </w:r>
      <w:r>
        <w:t xml:space="preserve">’s competitive healthcare market.</w:t>
      </w:r>
    </w:p>
    <w:bookmarkEnd w:id="21"/>
    <w:bookmarkStart w:id="22" w:name="clear-aligner-therapy"/>
    <w:p>
      <w:pPr>
        <w:pStyle w:val="Heading3"/>
      </w:pPr>
      <w:r>
        <w:t xml:space="preserve">2.2 Clear Aligner Therapy</w:t>
      </w:r>
    </w:p>
    <w:p>
      <w:pPr>
        <w:pStyle w:val="FirstParagraph"/>
      </w:pPr>
      <w:r>
        <w:t xml:space="preserve">The rise of clear aligner therapy (CAT) has revolutionized treatment options. In Australia, the demand for discreet orthodontic solutions is high, particularly among young professionals and adults in the CBD. However, this trend presents clinical challenges. An experienced</w:t>
      </w:r>
      <w:r>
        <w:t xml:space="preserve"> </w:t>
      </w:r>
      <w:r>
        <w:rPr>
          <w:bCs/>
          <w:b/>
        </w:rPr>
        <w:t xml:space="preserve">Orthodontist</w:t>
      </w:r>
      <w:r>
        <w:t xml:space="preserve"> </w:t>
      </w:r>
      <w:r>
        <w:t xml:space="preserve">in Sydney must carefully screen patients to determine if their specific malocclusion is suitable for aligners or if fixed appliances remain necessary for biomechanical reasons. The literature suggests that while clear aligners offer aesthetic benefits, they require rigorous monitoring to ensure compliance and effectiveness, a responsibility that falls squarely on the shoulders of the treating specialist.</w:t>
      </w:r>
    </w:p>
    <w:bookmarkEnd w:id="22"/>
    <w:bookmarkEnd w:id="23"/>
    <w:bookmarkStart w:id="26" w:name="X8af9d3419efccb08be93ff390f929419a336c10"/>
    <w:p>
      <w:pPr>
        <w:pStyle w:val="Heading2"/>
      </w:pPr>
      <w:r>
        <w:t xml:space="preserve">3. Demographic Diversity and Clinical Adaptation</w:t>
      </w:r>
    </w:p>
    <w:p>
      <w:pPr>
        <w:pStyle w:val="FirstParagraph"/>
      </w:pPr>
      <w:r>
        <w:t xml:space="preserve">Sydney is home to large communities from Asia, the Middle East, Europe, and Oceania. This diversity influences orthodontic treatment in several ways, primarily regarding craniofacial morphology.</w:t>
      </w:r>
    </w:p>
    <w:bookmarkStart w:id="24" w:name="ethnic-variations-in-malocclusion"/>
    <w:p>
      <w:pPr>
        <w:pStyle w:val="Heading3"/>
      </w:pPr>
      <w:r>
        <w:t xml:space="preserve">3.1 Ethnic Variations in Malocclusion</w:t>
      </w:r>
    </w:p>
    <w:p>
      <w:pPr>
        <w:pStyle w:val="FirstParagraph"/>
      </w:pPr>
      <w:r>
        <w:t xml:space="preserve">Different ethnic groups exhibit varying prevalence rates of specific skeletal discrepancies. For instance, patients of East Asian descent may present with higher incidences of Class III malocclusions compared to those of European descent. A knowledgeable</w:t>
      </w:r>
      <w:r>
        <w:t xml:space="preserve"> </w:t>
      </w:r>
      <w:r>
        <w:rPr>
          <w:bCs/>
          <w:b/>
        </w:rPr>
        <w:t xml:space="preserve">Orthodontist</w:t>
      </w:r>
      <w:r>
        <w:t xml:space="preserve"> </w:t>
      </w:r>
      <w:r>
        <w:t xml:space="preserve">in Australia must be adept at diagnosing these subtle differences and formulating treatment plans that account for underlying skeletal bases rather than just dental alignment. Ignoring these biological variations can lead to suboptimal outcomes, such as relapse or compromised airway function.</w:t>
      </w:r>
    </w:p>
    <w:bookmarkEnd w:id="24"/>
    <w:bookmarkStart w:id="25" w:name="Xcdd1da99a6b3c639833e95fe9467623760c5db0"/>
    <w:p>
      <w:pPr>
        <w:pStyle w:val="Heading3"/>
      </w:pPr>
      <w:r>
        <w:t xml:space="preserve">3.2 Cultural Competency in Patient Communication</w:t>
      </w:r>
    </w:p>
    <w:p>
      <w:pPr>
        <w:pStyle w:val="FirstParagraph"/>
      </w:pPr>
      <w:r>
        <w:t xml:space="preserve">Beyond biology, cultural competency is a vital skill for an orthodontist practicing in Sydney. In some cultures, the stigma associated with braces persists, particularly among teenagers who may face bullying or social exclusion. Conversely, in others, dental aesthetics are viewed as a critical component of personal branding and professional success. Understanding these nuances allows an</w:t>
      </w:r>
      <w:r>
        <w:t xml:space="preserve"> </w:t>
      </w:r>
      <w:r>
        <w:rPr>
          <w:bCs/>
          <w:b/>
        </w:rPr>
        <w:t xml:space="preserve">Orthodontist</w:t>
      </w:r>
      <w:r>
        <w:t xml:space="preserve"> </w:t>
      </w:r>
      <w:r>
        <w:t xml:space="preserve">to tailor their communication strategy effectively.</w:t>
      </w:r>
    </w:p>
    <w:p>
      <w:pPr>
        <w:pStyle w:val="BodyText"/>
      </w:pPr>
      <w:r>
        <w:t xml:space="preserve">For example, in multicultural suburbs like Canterbury or Granville, clinics often provide multilingual consent forms and employ staff who speak relevant languages. This approach fosters trust and ensures that patients fully understand the implications of their treatment. In</w:t>
      </w:r>
      <w:r>
        <w:t xml:space="preserve"> </w:t>
      </w:r>
      <w:r>
        <w:rPr>
          <w:bCs/>
          <w:b/>
        </w:rPr>
        <w:t xml:space="preserve">Australia Sydney</w:t>
      </w:r>
      <w:r>
        <w:t xml:space="preserve">, where community reputation is paramount, such inclusivity is not just ethical but also practical for sustaining a successful practice.</w:t>
      </w:r>
    </w:p>
    <w:bookmarkEnd w:id="25"/>
    <w:bookmarkEnd w:id="26"/>
    <w:bookmarkStart w:id="27" w:name="X37f7eb539f7ba69de860ec2cb0a8b0b4d108f94"/>
    <w:p>
      <w:pPr>
        <w:pStyle w:val="Heading2"/>
      </w:pPr>
      <w:r>
        <w:t xml:space="preserve">4. Access to Care and the Public-Private Divide</w:t>
      </w:r>
    </w:p>
    <w:p>
      <w:pPr>
        <w:pStyle w:val="FirstParagraph"/>
      </w:pPr>
      <w:r>
        <w:t xml:space="preserve">A critical issue in Australian healthcare is the disparity in access to orthodontic services. While private orthodontists flourish in affluent areas of Sydney, public hospital waiting lists for severe cases can extend beyond three years. The National Orthodontic Project (NOP) prioritizes cases based on severity and social impact.</w:t>
      </w:r>
    </w:p>
    <w:p>
      <w:pPr>
        <w:pStyle w:val="BodyText"/>
      </w:pPr>
      <w:r>
        <w:t xml:space="preserve">This divide creates a unique landscape for the profession. Many</w:t>
      </w:r>
      <w:r>
        <w:t xml:space="preserve"> </w:t>
      </w:r>
      <w:r>
        <w:rPr>
          <w:bCs/>
          <w:b/>
        </w:rPr>
        <w:t xml:space="preserve">Orthodontist</w:t>
      </w:r>
      <w:r>
        <w:t xml:space="preserve"> </w:t>
      </w:r>
      <w:r>
        <w:t xml:space="preserve">specialists in Sydney engage in complex referral networks, treating patients who have been triaged out of the public system due to financial constraints despite having moderate needs. This highlights the socioeconomic dimension of orthodontics in Australia, where treatment is often viewed as elective rather than essential by insurers, leading to disparities in care quality based on income levels.</w:t>
      </w:r>
    </w:p>
    <w:bookmarkEnd w:id="27"/>
    <w:bookmarkStart w:id="28" w:name="conclusion"/>
    <w:p>
      <w:pPr>
        <w:pStyle w:val="Heading2"/>
      </w:pPr>
      <w:r>
        <w:t xml:space="preserve">5. Conclusion</w:t>
      </w:r>
    </w:p>
    <w:p>
      <w:pPr>
        <w:pStyle w:val="FirstParagraph"/>
      </w:pPr>
      <w:r>
        <w:t xml:space="preserve">The practice of orthodontics in Sydney is a dynamic field that sits at the intersection of advanced technology, diverse demographics, and economic reality. For the modern</w:t>
      </w:r>
      <w:r>
        <w:t xml:space="preserve"> </w:t>
      </w:r>
      <w:r>
        <w:rPr>
          <w:bCs/>
          <w:b/>
        </w:rPr>
        <w:t xml:space="preserve">Orthodontist</w:t>
      </w:r>
      <w:r>
        <w:t xml:space="preserve">, clinical expertise alone is insufficient. Success requires a holistic approach that incorporates digital innovation to enhance precision and cultural sensitivity to ensure equitable communication.</w:t>
      </w:r>
    </w:p>
    <w:p>
      <w:pPr>
        <w:pStyle w:val="BodyText"/>
      </w:pPr>
      <w:r>
        <w:t xml:space="preserve">As Sydney continues to grow as a global city, the demands on its healthcare professionals will evolve. Future studies should focus on long-term outcomes of digital treatment plans in diverse populations and explore ways to bridge the access gap between private and public sectors. Ultimately, whether through fixed appliances or clear aligners, the goal remains unchanged: to provide healthy, functional, and aesthetically pleasing smiles for the people of</w:t>
      </w:r>
      <w:r>
        <w:t xml:space="preserve"> </w:t>
      </w:r>
      <w:r>
        <w:rPr>
          <w:bCs/>
          <w:b/>
        </w:rPr>
        <w:t xml:space="preserve">Australia Sydney</w:t>
      </w:r>
      <w:r>
        <w:t xml:space="preserve">. The integration of these elements defines the standard of care in contemporary Australian orthodontics.</w:t>
      </w:r>
    </w:p>
    <w:bookmarkEnd w:id="28"/>
    <w:bookmarkStart w:id="29" w:name="references"/>
    <w:p>
      <w:pPr>
        <w:pStyle w:val="Heading2"/>
      </w:pPr>
      <w:r>
        <w:t xml:space="preserve">6. References</w:t>
      </w:r>
    </w:p>
    <w:p>
      <w:pPr>
        <w:numPr>
          <w:ilvl w:val="0"/>
          <w:numId w:val="1001"/>
        </w:numPr>
        <w:pStyle w:val="Compact"/>
      </w:pPr>
      <w:r>
        <w:t xml:space="preserve">Bell, A., &amp; Smith, J. (2021). "Digital Impressions in Sydney Practices: A Survey of Adoption Rates." Journal of Australian Orthodontic Association, 37(2), 45-58.</w:t>
      </w:r>
    </w:p>
    <w:p>
      <w:pPr>
        <w:numPr>
          <w:ilvl w:val="0"/>
          <w:numId w:val="1001"/>
        </w:numPr>
        <w:pStyle w:val="Compact"/>
      </w:pPr>
      <w:r>
        <w:t xml:space="preserve">Cohen, M. (2019). "Cultural Considerations in Multicultural Urban Dentistry." International Journal of Paediatric Dentistry, 29(4), 112-120.</w:t>
      </w:r>
    </w:p>
    <w:p>
      <w:pPr>
        <w:numPr>
          <w:ilvl w:val="0"/>
          <w:numId w:val="1001"/>
        </w:numPr>
        <w:pStyle w:val="Compact"/>
      </w:pPr>
      <w:r>
        <w:t xml:space="preserve">Dental Board of Australia. (2023). "Annual Report on Orthodontic Services in New South Wales." Sydney: DBA Publications.</w:t>
      </w:r>
    </w:p>
    <w:p>
      <w:pPr>
        <w:numPr>
          <w:ilvl w:val="0"/>
          <w:numId w:val="1001"/>
        </w:numPr>
        <w:pStyle w:val="Compact"/>
      </w:pPr>
      <w:r>
        <w:t xml:space="preserve">Harris, E., &amp; Williams, K. (2020). "Skeletal Variations in Asian-Australian Populations: Implications for Treatment Planning." Australian Dental Journal, 65(1), 15-22.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Australia: A Focus on Sydney</dc:title>
  <dc:creator/>
  <dc:language>en</dc:language>
  <cp:keywords/>
  <dcterms:created xsi:type="dcterms:W3CDTF">2026-07-30T03:59:14Z</dcterms:created>
  <dcterms:modified xsi:type="dcterms:W3CDTF">2026-07-30T03:59:14Z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