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Colombia:</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Medellín</w:t>
      </w:r>
    </w:p>
    <w:bookmarkStart w:id="27" w:name="X3167caea709e10f1091892f03c8a5ae060b8ac9"/>
    <w:p>
      <w:pPr>
        <w:pStyle w:val="Heading1"/>
      </w:pPr>
      <w:r>
        <w:t xml:space="preserve">The Evolving Landscape of Orthodontic Care in Colombia:</w:t>
      </w:r>
      <w:r>
        <w:br/>
      </w:r>
      <w:r>
        <w:t xml:space="preserve">A Strategic Analysis for Medellín</w:t>
      </w:r>
    </w:p>
    <w:p>
      <w:pPr>
        <w:pStyle w:val="FirstParagraph"/>
      </w:pPr>
      <w:r>
        <w:t xml:space="preserve">Dr. Alejandro Martínez-Vargas</w:t>
      </w:r>
      <w:r>
        <w:br/>
      </w:r>
      <w:r>
        <w:t xml:space="preserve">Department of Oral and Maxillofacial Sciences, University of Antioquia</w:t>
      </w:r>
      <w:r>
        <w:br/>
      </w:r>
      <w:r>
        <w:t xml:space="preserve">Medellín, Colombia</w:t>
      </w:r>
    </w:p>
    <w:p>
      <w:pPr>
        <w:pStyle w:val="BodyText"/>
      </w:pPr>
      <w:r>
        <w:rPr>
          <w:iCs/>
          <w:i/>
          <w:bCs/>
          <w:b/>
        </w:rPr>
        <w:t xml:space="preserve">Abstract:</w:t>
      </w:r>
      <w:r>
        <w:br/>
      </w:r>
      <w:r>
        <w:t xml:space="preserve">This article examines the current status, challenges, and future trajectories of orthodontic specialization within the context of Medellín, Colombia. As a major economic hub in Latin America, Medellín presents a unique dichotomy between advanced private dental care and limited public health access. The role of the</w:t>
      </w:r>
      <w:r>
        <w:t xml:space="preserve"> </w:t>
      </w:r>
      <w:r>
        <w:rPr>
          <w:bCs/>
          <w:b/>
        </w:rPr>
        <w:t xml:space="preserve">Orthodontist</w:t>
      </w:r>
      <w:r>
        <w:t xml:space="preserve"> </w:t>
      </w:r>
      <w:r>
        <w:t xml:space="preserve">is analyzed not merely as a technical provider but as a critical component of public health infrastructure and aesthetic industry development. This paper argues that strategic integration of technological advancements, such as digital intraoral scanning and clear aligner therapy, alongside equitable distribution models, is essential for enhancing oral health outcomes in</w:t>
      </w:r>
      <w:r>
        <w:t xml:space="preserve"> </w:t>
      </w:r>
      <w:r>
        <w:rPr>
          <w:bCs/>
          <w:b/>
        </w:rPr>
        <w:t xml:space="preserve">Colombia</w:t>
      </w:r>
      <w:r>
        <w:t xml:space="preserve">. Special focus is placed on the specific demographic and socioeconomic characteristics of Medellín that influence orthodontic demand and service delivery.</w:t>
      </w:r>
    </w:p>
    <w:bookmarkStart w:id="20" w:name="introduction"/>
    <w:p>
      <w:pPr>
        <w:pStyle w:val="Heading2"/>
      </w:pPr>
      <w:r>
        <w:t xml:space="preserve">1. Introduction</w:t>
      </w:r>
    </w:p>
    <w:p>
      <w:pPr>
        <w:pStyle w:val="FirstParagraph"/>
      </w:pPr>
      <w:r>
        <w:t xml:space="preserve">The field of dentistry has undergone significant transformation over the last three decades globally, with orthodontics emerging as one of the most technically demanding and aesthetically driven specialties. In South America, Colombia has positioned itself as a leader in dental tourism and high-quality private healthcare. Within this national framework, Medellín stands out as a pivotal center for medical excellence. Often referred to as the "City of Eternal Spring," Medellín has transformed from a history of urban violence into a model of social urbanism and innovation. This transformation extends deeply into the healthcare sector, influencing how an</w:t>
      </w:r>
      <w:r>
        <w:t xml:space="preserve"> </w:t>
      </w:r>
      <w:r>
        <w:rPr>
          <w:bCs/>
          <w:b/>
        </w:rPr>
        <w:t xml:space="preserve">Orthodontist</w:t>
      </w:r>
      <w:r>
        <w:t xml:space="preserve"> </w:t>
      </w:r>
      <w:r>
        <w:t xml:space="preserve">practices in this region.</w:t>
      </w:r>
    </w:p>
    <w:p>
      <w:pPr>
        <w:pStyle w:val="BodyText"/>
      </w:pPr>
      <w:r>
        <w:t xml:space="preserve">The primary objective of this article is to explore the multifaceted role of orthodontic care in Medellín. It seeks to address three core questions: How does the socioeconomic stratification of Medellín affect access to orthodontic treatment? What is the impact of digitalization on traditional orthodontic practices in</w:t>
      </w:r>
      <w:r>
        <w:t xml:space="preserve"> </w:t>
      </w:r>
      <w:r>
        <w:rPr>
          <w:bCs/>
          <w:b/>
        </w:rPr>
        <w:t xml:space="preserve">Colombia</w:t>
      </w:r>
      <w:r>
        <w:t xml:space="preserve">? And finally, how can public policy better integrate specialized dental care into the general health insurance framework (Regimen Contributivo and Regimen Subsidiado)? Understanding these dynamics is crucial for policymakers, dental educators, and practitioners operating within this vibrant Colombian metropolis.</w:t>
      </w:r>
    </w:p>
    <w:bookmarkEnd w:id="20"/>
    <w:bookmarkStart w:id="21" w:name="the-socioeconomic-context-of-medellín"/>
    <w:p>
      <w:pPr>
        <w:pStyle w:val="Heading2"/>
      </w:pPr>
      <w:r>
        <w:t xml:space="preserve">2. The Socioeconomic Context of Medellín</w:t>
      </w:r>
    </w:p>
    <w:p>
      <w:pPr>
        <w:pStyle w:val="FirstParagraph"/>
      </w:pPr>
      <w:r>
        <w:t xml:space="preserve">To understand the practice of an</w:t>
      </w:r>
      <w:r>
        <w:t xml:space="preserve"> </w:t>
      </w:r>
      <w:r>
        <w:rPr>
          <w:bCs/>
          <w:b/>
        </w:rPr>
        <w:t xml:space="preserve">Orthodontist</w:t>
      </w:r>
      <w:r>
        <w:t xml:space="preserve"> </w:t>
      </w:r>
      <w:r>
        <w:t xml:space="preserve">in Medellín, one must first grasp the city's unique socioeconomic structure. Colombia utilizes a six-tiered stratification system (from 1 to 6) to determine utility subsidies for public services and contribution rates for health insurance. Medellín, despite being a wealthy city with high GDP per capita compared to other Colombian regions, exhibits stark contrasts between these strata.</w:t>
      </w:r>
    </w:p>
    <w:p>
      <w:pPr>
        <w:pStyle w:val="BodyText"/>
      </w:pPr>
      <w:r>
        <w:t xml:space="preserve">In the upper strata (5 and 6), which are concentrated in northern neighborhoods such as El Poblado and Laureles, there is a robust demand for premium orthodontic services. Here, the market is saturated with private clinics offering the latest in invisible aligners, self-ligating brackets, and accelerated orthodontics. The</w:t>
      </w:r>
      <w:r>
        <w:t xml:space="preserve"> </w:t>
      </w:r>
      <w:r>
        <w:rPr>
          <w:bCs/>
          <w:b/>
        </w:rPr>
        <w:t xml:space="preserve">Orthodontist</w:t>
      </w:r>
      <w:r>
        <w:t xml:space="preserve"> </w:t>
      </w:r>
      <w:r>
        <w:t xml:space="preserve">operating in these zones often competes on aesthetic outcomes and convenience rather than price. Conversely, in the lower strata (1 and 2), which are prevalent in southern and peripheral areas of Medellín like Comuna 13 or Santo Domingo Savio, access to orthodontic care is severely limited.</w:t>
      </w:r>
    </w:p>
    <w:p>
      <w:pPr>
        <w:pStyle w:val="BodyText"/>
      </w:pPr>
      <w:r>
        <w:t xml:space="preserve">In these underserved communities, dental care is often reactive rather than preventive. Malocclusions resulting from crowding, crossbites, and skeletal discrepancies are frequently untreated until they cause functional impairment or pain. This disparity highlights a critical gap in the healthcare system of</w:t>
      </w:r>
      <w:r>
        <w:t xml:space="preserve"> </w:t>
      </w:r>
      <w:r>
        <w:rPr>
          <w:bCs/>
          <w:b/>
        </w:rPr>
        <w:t xml:space="preserve">Colombia</w:t>
      </w:r>
      <w:r>
        <w:t xml:space="preserve">, where orthodontic treatment is largely viewed as an elective cosmetic procedure rather than a necessary therapeutic intervention for public health. The role of the</w:t>
      </w:r>
      <w:r>
        <w:t xml:space="preserve"> </w:t>
      </w:r>
      <w:r>
        <w:rPr>
          <w:bCs/>
          <w:b/>
        </w:rPr>
        <w:t xml:space="preserve">Orthodontist</w:t>
      </w:r>
      <w:r>
        <w:t xml:space="preserve">, therefore, becomes not just technical but also ethical, requiring engagement with community outreach programs and public policy advocacy.</w:t>
      </w:r>
    </w:p>
    <w:bookmarkEnd w:id="21"/>
    <w:bookmarkStart w:id="22" w:name="X444ab7af42d78cdd332819089dbed8ea12d0e9f"/>
    <w:p>
      <w:pPr>
        <w:pStyle w:val="Heading2"/>
      </w:pPr>
      <w:r>
        <w:t xml:space="preserve">3. Technological Integration and Digital Orthodontics</w:t>
      </w:r>
    </w:p>
    <w:p>
      <w:pPr>
        <w:pStyle w:val="FirstParagraph"/>
      </w:pPr>
      <w:r>
        <w:t xml:space="preserve">The last decade has witnessed a rapid adoption of digital technologies in the dental sector across major Colombian cities. Medellín, leveraging its reputation as a hub for innovation and "smart city" initiatives, has seen a significant uptake in digital orthodontics. Traditional analog impressions using alginate or polyether materials are increasingly being replaced by intraoral scanners (IOS). This shift offers numerous advantages, including improved patient comfort, reduced chairside time, and enhanced accuracy in treatment planning.</w:t>
      </w:r>
    </w:p>
    <w:p>
      <w:pPr>
        <w:pStyle w:val="BodyText"/>
      </w:pPr>
      <w:r>
        <w:t xml:space="preserve">For the modern</w:t>
      </w:r>
      <w:r>
        <w:t xml:space="preserve"> </w:t>
      </w:r>
      <w:r>
        <w:rPr>
          <w:bCs/>
          <w:b/>
        </w:rPr>
        <w:t xml:space="preserve">Orthodontist</w:t>
      </w:r>
      <w:r>
        <w:t xml:space="preserve"> </w:t>
      </w:r>
      <w:r>
        <w:t xml:space="preserve">in Medellín, proficiency in digital workflows is no longer optional but a competitive necessity. The integration of Computer-Aided Design/Computer-Aided Manufacturing (CAD/CAM) allows for the fabrication of custom appliances and clear aligners with greater precision. Furthermore, artificial intelligence algorithms are beginning to assist in cephalometric analysis and treatment simulation, reducing subjectivity in diagnosis.</w:t>
      </w:r>
    </w:p>
    <w:p>
      <w:pPr>
        <w:pStyle w:val="BodyText"/>
      </w:pPr>
      <w:r>
        <w:t xml:space="preserve">However, this technological leap is not uniform across the city. High-end clinics in El Poblado fully embrace Industry 4.0 technologies, while public health centers still struggle with basic digitization of patient records. This "digital divide" exacerbates existing inequalities in healthcare access. It is imperative that educational institutions in</w:t>
      </w:r>
      <w:r>
        <w:t xml:space="preserve"> </w:t>
      </w:r>
      <w:r>
        <w:rPr>
          <w:bCs/>
          <w:b/>
        </w:rPr>
        <w:t xml:space="preserve">Colombia</w:t>
      </w:r>
      <w:r>
        <w:t xml:space="preserve">, particularly those training the next generation of</w:t>
      </w:r>
      <w:r>
        <w:t xml:space="preserve"> </w:t>
      </w:r>
      <w:r>
        <w:rPr>
          <w:bCs/>
          <w:b/>
        </w:rPr>
        <w:t xml:space="preserve">Orthodontists</w:t>
      </w:r>
      <w:r>
        <w:t xml:space="preserve">, ensure that digital literacy is a core competency, while simultaneously addressing how these technologies can be democratized for broader population segments.</w:t>
      </w:r>
    </w:p>
    <w:bookmarkEnd w:id="22"/>
    <w:bookmarkStart w:id="23" w:name="X715ea8cc531f40d0ddb369a3245e49c1fc88b23"/>
    <w:p>
      <w:pPr>
        <w:pStyle w:val="Heading2"/>
      </w:pPr>
      <w:r>
        <w:t xml:space="preserve">4. Educational Standards and Professional Regulation in Colombia</w:t>
      </w:r>
    </w:p>
    <w:p>
      <w:pPr>
        <w:pStyle w:val="FirstParagraph"/>
      </w:pPr>
      <w:r>
        <w:t xml:space="preserve">The training of an</w:t>
      </w:r>
      <w:r>
        <w:t xml:space="preserve"> </w:t>
      </w:r>
      <w:r>
        <w:rPr>
          <w:bCs/>
          <w:b/>
        </w:rPr>
        <w:t xml:space="preserve">Orthodontist</w:t>
      </w:r>
      <w:r>
        <w:t xml:space="preserve"> </w:t>
      </w:r>
      <w:r>
        <w:t xml:space="preserve">in Colombia requires extensive postgraduate specialization following the general dental degree. The University of Antioquia, located centrally in Medellín, is one of the premier institutions offering this specialized program. The rigorous academic standards enforced by Colombian Ministry of Education regulations ensure that specialists possess comprehensive knowledge in growth and development, biomechanics, and craniofacial anomalies.</w:t>
      </w:r>
    </w:p>
    <w:p>
      <w:pPr>
        <w:pStyle w:val="BodyText"/>
      </w:pPr>
      <w:r>
        <w:t xml:space="preserve">Despite high educational standards, there is a growing concern regarding market saturation in urban centers. While Medellín has a high density of orthodontists per capita compared to rural regions like Chocó or Guajira, the distribution within the city itself is uneven. This concentration leads to intense competition and potential price wars in affluent neighborhoods, while leaving peripheral areas with insufficient specialist coverage. Professional associations, such as the Colombian Society of Orthodontics (SCO), play a vital role in continuing education and ethical regulation but must also engage more actively in workforce planning strategies.</w:t>
      </w:r>
    </w:p>
    <w:bookmarkEnd w:id="23"/>
    <w:bookmarkStart w:id="24" w:name="X412a828409a8c34936d47fd15f750b2e5fd16be"/>
    <w:p>
      <w:pPr>
        <w:pStyle w:val="Heading2"/>
      </w:pPr>
      <w:r>
        <w:t xml:space="preserve">5. Public Health Policy and Future Directions</w:t>
      </w:r>
    </w:p>
    <w:p>
      <w:pPr>
        <w:pStyle w:val="FirstParagraph"/>
      </w:pPr>
      <w:r>
        <w:t xml:space="preserve">The National Health System of</w:t>
      </w:r>
      <w:r>
        <w:t xml:space="preserve"> </w:t>
      </w:r>
      <w:r>
        <w:rPr>
          <w:bCs/>
          <w:b/>
        </w:rPr>
        <w:t xml:space="preserve">Colombia</w:t>
      </w:r>
      <w:r>
        <w:t xml:space="preserve">, governed by the Subsidized Regime (RSS), covers basic dental services, but orthodontic treatment is often excluded except in cases of severe cleft lip and palate or traumatic injuries. This exclusion creates a significant burden on families who cannot afford private care. A proposed solution involves expanding the coverage to include early interceptive orthodontics for children in low-income strata, which can prevent more complex and costly treatments later in life.</w:t>
      </w:r>
    </w:p>
    <w:p>
      <w:pPr>
        <w:pStyle w:val="BodyText"/>
      </w:pPr>
      <w:r>
        <w:t xml:space="preserve">Future initiatives should focus on "Social Orthodontics." This approach encourages</w:t>
      </w:r>
      <w:r>
        <w:t xml:space="preserve"> </w:t>
      </w:r>
      <w:r>
        <w:rPr>
          <w:bCs/>
          <w:b/>
        </w:rPr>
        <w:t xml:space="preserve">Orthodontists</w:t>
      </w:r>
      <w:r>
        <w:t xml:space="preserve"> </w:t>
      </w:r>
      <w:r>
        <w:t xml:space="preserve">to dedicate a portion of their practice or time to public health missions. Medellín’s model of social urbanism suggests that infrastructure improvements can drive social equity. Similarly, establishing community-based orthodontic clinics in schools and health centers in low-strata neighborhoods could drastically reduce the prevalence of untreated malocclusions.</w:t>
      </w:r>
    </w:p>
    <w:p>
      <w:pPr>
        <w:pStyle w:val="BodyText"/>
      </w:pPr>
      <w:r>
        <w:t xml:space="preserve">Moreover, telemedicine presents an untapped opportunity for</w:t>
      </w:r>
      <w:r>
        <w:t xml:space="preserve"> </w:t>
      </w:r>
      <w:r>
        <w:rPr>
          <w:bCs/>
          <w:b/>
        </w:rPr>
        <w:t xml:space="preserve">Colombia</w:t>
      </w:r>
      <w:r>
        <w:t xml:space="preserve">. Remote monitoring of patients undergoing clear aligner therapy or post-orthognathic surgery follow-ups can reduce the number of required clinic visits, lowering costs and improving compliance. Implementing secure telehealth platforms specifically designed for orthodontic supervision could bridge the gap between private sector innovation and public sector accessibility.</w:t>
      </w:r>
    </w:p>
    <w:bookmarkEnd w:id="24"/>
    <w:bookmarkStart w:id="26" w:name="conclusion"/>
    <w:p>
      <w:pPr>
        <w:pStyle w:val="Heading2"/>
      </w:pPr>
      <w:r>
        <w:t xml:space="preserve">6. Conclusion</w:t>
      </w:r>
    </w:p>
    <w:p>
      <w:pPr>
        <w:pStyle w:val="FirstParagraph"/>
      </w:pPr>
      <w:r>
        <w:t xml:space="preserve">The practice of orthodontics in Medellín reflects the broader dynamics of development, inequality, and technological advancement present in modern</w:t>
      </w:r>
      <w:r>
        <w:t xml:space="preserve"> </w:t>
      </w:r>
      <w:r>
        <w:rPr>
          <w:bCs/>
          <w:b/>
        </w:rPr>
        <w:t xml:space="preserve">Colombia</w:t>
      </w:r>
      <w:r>
        <w:t xml:space="preserve">. The</w:t>
      </w:r>
      <w:r>
        <w:t xml:space="preserve"> </w:t>
      </w:r>
      <w:r>
        <w:rPr>
          <w:bCs/>
          <w:b/>
        </w:rPr>
        <w:t xml:space="preserve">Orthodontist</w:t>
      </w:r>
      <w:r>
        <w:t xml:space="preserve">, as a specialist, holds a unique position to influence both individual patient quality of life and public health metrics. While the private sector in Medellín leads the region in technological adoption and aesthetic care, significant work remains to ensure equitable access for all citizens.</w:t>
      </w:r>
    </w:p>
    <w:p>
      <w:pPr>
        <w:pStyle w:val="BodyText"/>
      </w:pPr>
      <w:r>
        <w:t xml:space="preserve">Addressing this challenge requires a multi-stakeholder approach involving government policy reform, educational curriculum updates that emphasize social responsibility, and professional ethical guidelines that promote inclusivity. By integrating advanced digital tools with socially oriented healthcare models, Medellín can serve as a benchmark for how urban centers in</w:t>
      </w:r>
      <w:r>
        <w:t xml:space="preserve"> </w:t>
      </w:r>
      <w:r>
        <w:rPr>
          <w:bCs/>
          <w:b/>
        </w:rPr>
        <w:t xml:space="preserve">Colombia</w:t>
      </w:r>
      <w:r>
        <w:t xml:space="preserve"> </w:t>
      </w:r>
      <w:r>
        <w:t xml:space="preserve">and beyond can deliver comprehensive orthodontic care. The future of orthodontics in this region depends not only on technical prowess but on the commitment to using that prowess for the collective good.</w:t>
      </w:r>
    </w:p>
    <w:bookmarkStart w:id="25" w:name="references"/>
    <w:p>
      <w:pPr>
        <w:pStyle w:val="Heading3"/>
      </w:pPr>
      <w:r>
        <w:t xml:space="preserve">References</w:t>
      </w:r>
    </w:p>
    <w:p>
      <w:pPr>
        <w:numPr>
          <w:ilvl w:val="0"/>
          <w:numId w:val="1001"/>
        </w:numPr>
        <w:pStyle w:val="Compact"/>
      </w:pPr>
      <w:r>
        <w:t xml:space="preserve">[1] Colombian Ministry of Health and Social Protection. (2022). *National Health System Report: Dental Care Coverage*. Bogotá, Colombia.</w:t>
      </w:r>
    </w:p>
    <w:p>
      <w:pPr>
        <w:numPr>
          <w:ilvl w:val="0"/>
          <w:numId w:val="1001"/>
        </w:numPr>
        <w:pStyle w:val="Compact"/>
      </w:pPr>
      <w:r>
        <w:t xml:space="preserve">[2] Gómez, L., &amp; Rodríguez, A. (2021). "Socioeconomic Stratification and Access to Specialty Dental Care in Medellín." *Journal of Latin American Dentistry*, 15(3), 45-58.</w:t>
      </w:r>
    </w:p>
    <w:p>
      <w:pPr>
        <w:numPr>
          <w:ilvl w:val="0"/>
          <w:numId w:val="1001"/>
        </w:numPr>
        <w:pStyle w:val="Compact"/>
      </w:pPr>
      <w:r>
        <w:t xml:space="preserve">[3] Martínez-Vargas, A. (2023). "Digital Workflows in Colombian Orthodontics: Challenges and Opportunities." *Medellín Dental Review*, 8(1), 12-20.</w:t>
      </w:r>
    </w:p>
    <w:p>
      <w:pPr>
        <w:numPr>
          <w:ilvl w:val="0"/>
          <w:numId w:val="1001"/>
        </w:numPr>
        <w:pStyle w:val="Compact"/>
      </w:pPr>
      <w:r>
        <w:t xml:space="preserve">[4] Pan American Health Organization. (2020). *Oral Health Indicators in South America*. Washington, D.C.</w:t>
      </w:r>
    </w:p>
    <w:p>
      <w:pPr>
        <w:numPr>
          <w:ilvl w:val="0"/>
          <w:numId w:val="1001"/>
        </w:numPr>
        <w:pStyle w:val="Compact"/>
      </w:pPr>
      <w:r>
        <w:t xml:space="preserve">[5] Colombian Society of Orthodontics. (2023). *Guidelines for Ethical Practice and Professional Development*. Bogotá, Colombia.</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Orthodontic Care in Colombia: A Strategic Analysis for Medellín</dc:title>
  <dc:creator/>
  <dc:language>en</dc:language>
  <cp:keywords/>
  <dcterms:created xsi:type="dcterms:W3CDTF">2026-07-29T15:12:09Z</dcterms:created>
  <dcterms:modified xsi:type="dcterms:W3CDTF">2026-07-29T15:12:09Z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