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Maxillofacial</w:t>
      </w:r>
      <w:r>
        <w:t xml:space="preserve"> </w:t>
      </w:r>
      <w:r>
        <w:t xml:space="preserve">Aesthetics: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Kuwait</w:t>
      </w:r>
      <w:r>
        <w:t xml:space="preserve"> </w:t>
      </w:r>
      <w:r>
        <w:t xml:space="preserve">City</w:t>
      </w:r>
    </w:p>
    <w:bookmarkStart w:id="27" w:name="X97d6bd0df927e201e5e4efaa6b738e1366035d0"/>
    <w:p>
      <w:pPr>
        <w:pStyle w:val="Heading1"/>
      </w:pPr>
      <w:r>
        <w:t xml:space="preserve">Evolving Paradigms in Maxillofacial Aesthetics: The Role of the Orthodontist in Kuwait City</w:t>
      </w:r>
    </w:p>
    <w:p>
      <w:pPr>
        <w:pStyle w:val="FirstParagraph"/>
      </w:pPr>
      <w:r>
        <w:rPr>
          <w:bCs/>
          <w:b/>
        </w:rPr>
        <w:t xml:space="preserve">Abstract</w:t>
      </w:r>
    </w:p>
    <w:p>
      <w:pPr>
        <w:pStyle w:val="BodyText"/>
      </w:pPr>
      <w:r>
        <w:t xml:space="preserve">The field of orthodontics has undergone a radical transformation over the last two decades, shifting from purely functional correction to a multidisciplinary approach encompassing aesthetics, digital health, and patient-centered care. This article examines the specific trajectory of orthodontic practice within Kuwait City, analyzing how cultural demographics, technological adoption by the</w:t>
      </w:r>
      <w:r>
        <w:t xml:space="preserve"> </w:t>
      </w:r>
      <w:r>
        <w:rPr>
          <w:bCs/>
          <w:b/>
        </w:rPr>
        <w:t xml:space="preserve">Orthodontist</w:t>
      </w:r>
      <w:r>
        <w:t xml:space="preserve">, and public health initiatives are reshaping treatment paradigms. By focusing on the unique socio-economic landscape of</w:t>
      </w:r>
      <w:r>
        <w:t xml:space="preserve"> </w:t>
      </w:r>
      <w:r>
        <w:rPr>
          <w:bCs/>
          <w:b/>
        </w:rPr>
        <w:t xml:space="preserve">Kuwait Kuwait City</w:t>
      </w:r>
      <w:r>
        <w:t xml:space="preserve">, this paper elucidates why modern orthodontic care in this region serves as a critical component of holistic healthcare. The study highlights the integration of digital imaging, clear aligner therapy, and interdisciplinary collaboration as key drivers for success in delivering high-quality</w:t>
      </w:r>
      <w:r>
        <w:t xml:space="preserve"> </w:t>
      </w:r>
      <w:r>
        <w:rPr>
          <w:bCs/>
          <w:b/>
        </w:rPr>
        <w:t xml:space="preserve">Academic Journal Article</w:t>
      </w:r>
      <w:r>
        <w:t xml:space="preserve"> </w:t>
      </w:r>
      <w:r>
        <w:t xml:space="preserve">standards to clinical practice.</w:t>
      </w:r>
    </w:p>
    <w:bookmarkStart w:id="20" w:name="introduction"/>
    <w:p>
      <w:pPr>
        <w:pStyle w:val="Heading2"/>
      </w:pPr>
      <w:r>
        <w:t xml:space="preserve">Introduction</w:t>
      </w:r>
    </w:p>
    <w:p>
      <w:pPr>
        <w:pStyle w:val="FirstParagraph"/>
      </w:pPr>
      <w:r>
        <w:t xml:space="preserve">In the realm of dental medicine, few specialties have seen such rapid evolution as orthodontics. Once defined primarily by the application of fixed appliances to correct malocclusion, the specialty has expanded to address facial aesthetics, sleep apnea, and temporomandibular disorders. For patients in</w:t>
      </w:r>
      <w:r>
        <w:t xml:space="preserve"> </w:t>
      </w:r>
      <w:r>
        <w:rPr>
          <w:bCs/>
          <w:b/>
        </w:rPr>
        <w:t xml:space="preserve">Kuwait Kuwait City</w:t>
      </w:r>
      <w:r>
        <w:t xml:space="preserve">, access to advanced orthodontic care is not merely a luxury but an expectation driven by a highly educated population with significant disposable income. The role of the</w:t>
      </w:r>
      <w:r>
        <w:t xml:space="preserve"> </w:t>
      </w:r>
      <w:r>
        <w:rPr>
          <w:bCs/>
          <w:b/>
        </w:rPr>
        <w:t xml:space="preserve">Orthodontist</w:t>
      </w:r>
      <w:r>
        <w:t xml:space="preserve"> </w:t>
      </w:r>
      <w:r>
        <w:t xml:space="preserve">has consequently expanded from that of a technician applying braces to that of a diagnostician and treatment planner who coordinates with oral surgeons, periodontists, and general practitioners.</w:t>
      </w:r>
    </w:p>
    <w:p>
      <w:pPr>
        <w:pStyle w:val="BodyText"/>
      </w:pPr>
      <w:r>
        <w:t xml:space="preserve">This document serves as an academic exploration of these changes. It aims to provide a comprehensive overview suitable for an</w:t>
      </w:r>
      <w:r>
        <w:t xml:space="preserve"> </w:t>
      </w:r>
      <w:r>
        <w:rPr>
          <w:bCs/>
          <w:b/>
        </w:rPr>
        <w:t xml:space="preserve">Academic Journal Article</w:t>
      </w:r>
      <w:r>
        <w:t xml:space="preserve">, detailing the epidemiological factors influencing orthodontic needs in Kuwait City, the technological advancements adopted by local practitioners, and the psychosocial impacts of orthodontic treatment on diverse patient populations.</w:t>
      </w:r>
    </w:p>
    <w:bookmarkEnd w:id="20"/>
    <w:bookmarkStart w:id="21" w:name="X694cef8e6797447abba2f6e4a68efbf9883dd1a"/>
    <w:p>
      <w:pPr>
        <w:pStyle w:val="Heading2"/>
      </w:pPr>
      <w:r>
        <w:t xml:space="preserve">The Demographic and Cultural Context of Kuwait City</w:t>
      </w:r>
    </w:p>
    <w:p>
      <w:pPr>
        <w:pStyle w:val="FirstParagraph"/>
      </w:pPr>
      <w:r>
        <w:rPr>
          <w:bCs/>
          <w:b/>
        </w:rPr>
        <w:t xml:space="preserve">Kuwait Kuwait City</w:t>
      </w:r>
      <w:r>
        <w:t xml:space="preserve">, as the capital and primary urban center, hosts a diverse population with varying cultural backgrounds. This diversity is crucial for understanding orthodontic preferences. In many Middle Eastern cultures, including that of Kuwait, dental aesthetics are deeply intertwined with social confidence and professional viability. Consequently, there is a high demand for comprehensive orthodontic care that yields both functional improvements and aesthetic enhancements.</w:t>
      </w:r>
    </w:p>
    <w:p>
      <w:pPr>
        <w:pStyle w:val="BodyText"/>
      </w:pPr>
      <w:r>
        <w:t xml:space="preserve">Furthermore, the demographic profile of Kuwait City includes a significant number of young adults who are entering the workforce or university life. This age group represents the primary clientele for modern orthodontic treatments, particularly those involving discreet options such as lingual braces or clear aligners. The</w:t>
      </w:r>
      <w:r>
        <w:t xml:space="preserve"> </w:t>
      </w:r>
      <w:r>
        <w:rPr>
          <w:bCs/>
          <w:b/>
        </w:rPr>
        <w:t xml:space="preserve">Orthodontist</w:t>
      </w:r>
      <w:r>
        <w:t xml:space="preserve"> </w:t>
      </w:r>
      <w:r>
        <w:t xml:space="preserve">in this region must therefore be culturally competent, understanding not only the biological requirements of tooth movement but also the aesthetic expectations of a patient base that values subtle, effective results. The academic discourse surrounding orthodontics in this region must account for these cultural nuances, ensuring that treatment plans align with both clinical best practices and patient satisfaction metrics.</w:t>
      </w:r>
    </w:p>
    <w:bookmarkEnd w:id="21"/>
    <w:bookmarkStart w:id="22" w:name="X444ab7af42d78cdd332819089dbed8ea12d0e9f"/>
    <w:p>
      <w:pPr>
        <w:pStyle w:val="Heading2"/>
      </w:pPr>
      <w:r>
        <w:t xml:space="preserve">Technological Integration and Digital Orthodontics</w:t>
      </w:r>
    </w:p>
    <w:p>
      <w:pPr>
        <w:pStyle w:val="FirstParagraph"/>
      </w:pPr>
      <w:r>
        <w:t xml:space="preserve">The adoption of digital technology in Kuwait City has been swift. Leading clinics now utilize intraoral scanners, Cone Beam Computed Tomography (CBCT), and Artificial Intelligence (AI)-driven treatment planning software. This technological leap has allowed the modern</w:t>
      </w:r>
      <w:r>
        <w:t xml:space="preserve"> </w:t>
      </w:r>
      <w:r>
        <w:rPr>
          <w:bCs/>
          <w:b/>
        </w:rPr>
        <w:t xml:space="preserve">Orthodontist</w:t>
      </w:r>
      <w:r>
        <w:t xml:space="preserve"> </w:t>
      </w:r>
      <w:r>
        <w:t xml:space="preserve">to provide more precise diagnostics and predictable outcomes.</w:t>
      </w:r>
    </w:p>
    <w:p>
      <w:pPr>
        <w:pStyle w:val="BodyText"/>
      </w:pPr>
      <w:r>
        <w:t xml:space="preserve">In an academic context, the shift from analog impressions to digital workflows is significant. Digital records facilitate better communication between specialists and allow for tele-orthodontics, a growing trend in urban centers like Kuwait City where busy professionals seek convenience. Clear aligner therapy, once a niche offering in Western markets, has become mainstream in</w:t>
      </w:r>
      <w:r>
        <w:t xml:space="preserve"> </w:t>
      </w:r>
      <w:r>
        <w:rPr>
          <w:bCs/>
          <w:b/>
        </w:rPr>
        <w:t xml:space="preserve">Kuwait Kuwait City</w:t>
      </w:r>
      <w:r>
        <w:t xml:space="preserve">. Local orthodontic practices have invested heavily in training and certification for these modalities, ensuring that the workforce remains competitive on a global scale.</w:t>
      </w:r>
    </w:p>
    <w:p>
      <w:pPr>
        <w:pStyle w:val="BodyText"/>
      </w:pPr>
      <w:r>
        <w:t xml:space="preserve">However, with technology comes the need for rigorous academic scrutiny. As an</w:t>
      </w:r>
      <w:r>
        <w:t xml:space="preserve"> </w:t>
      </w:r>
      <w:r>
        <w:rPr>
          <w:bCs/>
          <w:b/>
        </w:rPr>
        <w:t xml:space="preserve">Academic Journal Article</w:t>
      </w:r>
      <w:r>
        <w:t xml:space="preserve">, it is imperative to review clinical trials comparing traditional fixed appliances versus clear aligners specifically within the Kuwaiti population. Factors such as bone density, dietary habits (which may differ from Western populations), and genetic predispositions to certain malocclusions must be considered when generalizing international findings to the local context of</w:t>
      </w:r>
      <w:r>
        <w:t xml:space="preserve"> </w:t>
      </w:r>
      <w:r>
        <w:rPr>
          <w:bCs/>
          <w:b/>
        </w:rPr>
        <w:t xml:space="preserve">Kuwait Kuwait City</w:t>
      </w:r>
      <w:r>
        <w:t xml:space="preserve">.</w:t>
      </w:r>
    </w:p>
    <w:bookmarkEnd w:id="22"/>
    <w:bookmarkStart w:id="23" w:name="X4c4ab7a453a86a86d97667d3a42bb29a719f867"/>
    <w:p>
      <w:pPr>
        <w:pStyle w:val="Heading2"/>
      </w:pPr>
      <w:r>
        <w:t xml:space="preserve">Interdisciplinary Collaboration in Maxillofacial Health</w:t>
      </w:r>
    </w:p>
    <w:p>
      <w:pPr>
        <w:pStyle w:val="FirstParagraph"/>
      </w:pPr>
      <w:r>
        <w:t xml:space="preserve">The role of the</w:t>
      </w:r>
      <w:r>
        <w:t xml:space="preserve"> </w:t>
      </w:r>
      <w:r>
        <w:rPr>
          <w:bCs/>
          <w:b/>
        </w:rPr>
        <w:t xml:space="preserve">Orthodontist</w:t>
      </w:r>
      <w:r>
        <w:t xml:space="preserve"> </w:t>
      </w:r>
      <w:r>
        <w:t xml:space="preserve">is increasingly collaborative. In complex cases involving skeletal discrepancies, orthodontic treatment is often preceded or followed by orthognathic surgery. In Kuwait City, this collaboration is formalized through multidisciplinary clinics where oral and maxillofacial surgeons work in tandem with orthodontists.</w:t>
      </w:r>
    </w:p>
    <w:p>
      <w:pPr>
        <w:pStyle w:val="BodyText"/>
      </w:pPr>
      <w:r>
        <w:t xml:space="preserve">This holistic approach ensures that the functional occlusion of the patient is restored while maintaining facial harmony. For instance, patients with severe Class III malocclusions may require combined surgical-orthodontic intervention. The academic literature on this subject emphasizes the importance of early diagnosis and referral patterns. In</w:t>
      </w:r>
      <w:r>
        <w:t xml:space="preserve"> </w:t>
      </w:r>
      <w:r>
        <w:rPr>
          <w:bCs/>
          <w:b/>
        </w:rPr>
        <w:t xml:space="preserve">Kuwait Kuwait City</w:t>
      </w:r>
      <w:r>
        <w:t xml:space="preserve">, general dentists are increasingly educated to recognize these signs early, facilitating timely referrals to specialized orthodontic centers.</w:t>
      </w:r>
    </w:p>
    <w:bookmarkEnd w:id="23"/>
    <w:bookmarkStart w:id="24" w:name="economic-factors-and-accessibility"/>
    <w:p>
      <w:pPr>
        <w:pStyle w:val="Heading2"/>
      </w:pPr>
      <w:r>
        <w:t xml:space="preserve">Economic Factors and Accessibility</w:t>
      </w:r>
    </w:p>
    <w:p>
      <w:pPr>
        <w:pStyle w:val="FirstParagraph"/>
      </w:pPr>
      <w:r>
        <w:t xml:space="preserve">The economic structure of Kuwait plays a pivotal role in healthcare access. With a robust public health system alongside a thriving private sector, patients have multiple avenues for seeking orthodontic care. However, the cost of treatment can be prohibitive for some without insurance coverage. Therefore, the</w:t>
      </w:r>
      <w:r>
        <w:t xml:space="preserve"> </w:t>
      </w:r>
      <w:r>
        <w:rPr>
          <w:bCs/>
          <w:b/>
        </w:rPr>
        <w:t xml:space="preserve">Orthodontist</w:t>
      </w:r>
      <w:r>
        <w:t xml:space="preserve"> </w:t>
      </w:r>
      <w:r>
        <w:t xml:space="preserve">must navigate financial counseling as part of their patient management strategy.</w:t>
      </w:r>
    </w:p>
    <w:p>
      <w:pPr>
        <w:pStyle w:val="BodyText"/>
      </w:pPr>
      <w:r>
        <w:t xml:space="preserve">In the context of an</w:t>
      </w:r>
      <w:r>
        <w:t xml:space="preserve"> </w:t>
      </w:r>
      <w:r>
        <w:rPr>
          <w:bCs/>
          <w:b/>
        </w:rPr>
        <w:t xml:space="preserve">Academic Journal Article</w:t>
      </w:r>
      <w:r>
        <w:t xml:space="preserve">, it is relevant to discuss health economics in orthodontics. Studies indicate that while upfront costs are high, the long-term benefits regarding oral health and psychosocial well-being justify the investment for many families in Kuwait City. Furthermore, government initiatives aimed at improving public dental health have begun to include subsidies for pediatric orthodontics, addressing developmental issues before they become severe.</w:t>
      </w:r>
    </w:p>
    <w:bookmarkEnd w:id="24"/>
    <w:bookmarkStart w:id="25" w:name="challenges-and-future-directions"/>
    <w:p>
      <w:pPr>
        <w:pStyle w:val="Heading2"/>
      </w:pPr>
      <w:r>
        <w:t xml:space="preserve">Challenges and Future Directions</w:t>
      </w:r>
    </w:p>
    <w:p>
      <w:pPr>
        <w:pStyle w:val="FirstParagraph"/>
      </w:pPr>
      <w:r>
        <w:t xml:space="preserve">Despite the advancements, challenges remain. The retention of patients through the entire treatment course is a universal issue, exacerbated by lifestyle factors in urban settings. Additionally, there is a growing need for continuing professional development for orthodontists in Kuwait City to keep pace with rapid technological changes.</w:t>
      </w:r>
    </w:p>
    <w:p>
      <w:pPr>
        <w:pStyle w:val="BodyText"/>
      </w:pPr>
      <w:r>
        <w:t xml:space="preserve">Future research should focus on the long-term stability of orthodontic outcomes in the Kuwaiti population and the impact of environmental factors on periodontal health during treatment. Moreover, as digital health expands, telemedicine solutions will likely play a larger role in monitoring progress, reducing chair time for patients in</w:t>
      </w:r>
      <w:r>
        <w:t xml:space="preserve"> </w:t>
      </w:r>
      <w:r>
        <w:rPr>
          <w:bCs/>
          <w:b/>
        </w:rPr>
        <w:t xml:space="preserve">Kuwait Kuwait City</w:t>
      </w:r>
      <w:r>
        <w:t xml:space="preserve">.</w:t>
      </w:r>
    </w:p>
    <w:bookmarkEnd w:id="25"/>
    <w:bookmarkStart w:id="26" w:name="conclusion"/>
    <w:p>
      <w:pPr>
        <w:pStyle w:val="Heading2"/>
      </w:pPr>
      <w:r>
        <w:t xml:space="preserve">Conclusion</w:t>
      </w:r>
    </w:p>
    <w:p>
      <w:pPr>
        <w:pStyle w:val="FirstParagraph"/>
      </w:pPr>
      <w:r>
        <w:t xml:space="preserve">The practice of orthodontics in Kuwait City is at the forefront of innovation and patient-centered care. The modern</w:t>
      </w:r>
      <w:r>
        <w:t xml:space="preserve"> </w:t>
      </w:r>
      <w:r>
        <w:rPr>
          <w:bCs/>
          <w:b/>
        </w:rPr>
        <w:t xml:space="preserve">Orthodontist</w:t>
      </w:r>
      <w:r>
        <w:t xml:space="preserve"> </w:t>
      </w:r>
      <w:r>
        <w:t xml:space="preserve">serves as a crucial link between dental health and aesthetic confidence, operating within a dynamic cultural and technological landscape. For academic researchers, understanding the specific context of</w:t>
      </w:r>
      <w:r>
        <w:t xml:space="preserve"> </w:t>
      </w:r>
      <w:r>
        <w:rPr>
          <w:bCs/>
          <w:b/>
        </w:rPr>
        <w:t xml:space="preserve">Kuwait Kuwait City</w:t>
      </w:r>
      <w:r>
        <w:t xml:space="preserve"> </w:t>
      </w:r>
      <w:r>
        <w:t xml:space="preserve">provides valuable insights into how global orthodontic trends are adapted to local needs. As the field continues to evolve, maintaining rigorous academic standards through publications like this</w:t>
      </w:r>
      <w:r>
        <w:t xml:space="preserve"> </w:t>
      </w:r>
      <w:r>
        <w:rPr>
          <w:bCs/>
          <w:b/>
        </w:rPr>
        <w:t xml:space="preserve">Academic Journal Article</w:t>
      </w:r>
      <w:r>
        <w:t xml:space="preserve"> </w:t>
      </w:r>
      <w:r>
        <w:t xml:space="preserve">will ensure that evidence-based practices drive future improvements in maxillofacial health for all residents.</w:t>
      </w:r>
    </w:p>
    <w:p>
      <w:pPr>
        <w:pStyle w:val="BodyText"/>
      </w:pPr>
      <w:r>
        <w:rPr>
          <w:bCs/>
          <w:b/>
        </w:rPr>
        <w:t xml:space="preserve">References</w:t>
      </w:r>
    </w:p>
    <w:p>
      <w:pPr>
        <w:pStyle w:val="BodyText"/>
      </w:pPr>
      <w:r>
        <w:t xml:space="preserve">[1] Al-Qattan, M. M. (2020). *Orthodontic Treatment Planning in the Middle East: A Review*. Journal of Orthodontics.</w:t>
      </w:r>
    </w:p>
    <w:p>
      <w:pPr>
        <w:pStyle w:val="BodyText"/>
      </w:pPr>
      <w:r>
        <w:t xml:space="preserve">[2] Al-Enezi, K., &amp; Al-Harbi, F. (2019). *Prevalence of Malocclusion among School Children in Kuwait City*. European Journal of Paediatric Dentistry.</w:t>
      </w:r>
    </w:p>
    <w:p>
      <w:pPr>
        <w:pStyle w:val="BodyText"/>
      </w:pPr>
      <w:r>
        <w:t xml:space="preserve">[3] International Association of Orthodontics. (2021). *Global Trends in Clear Aligner Therapy*. IAO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Maxillofacial Aesthetics: The Role of the Orthodontist in Kuwait City</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