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Contemporary</w:t>
      </w:r>
      <w:r>
        <w:t xml:space="preserve"> </w:t>
      </w:r>
      <w:r>
        <w:t xml:space="preserve">Dental</w:t>
      </w:r>
      <w:r>
        <w:t xml:space="preserve"> </w:t>
      </w:r>
      <w:r>
        <w:t xml:space="preserve">Practice:</w:t>
      </w:r>
      <w:r>
        <w:t xml:space="preserve"> </w:t>
      </w:r>
      <w:r>
        <w:t xml:space="preserve">A</w:t>
      </w:r>
      <w:r>
        <w:t xml:space="preserve"> </w:t>
      </w:r>
      <w:r>
        <w:t xml:space="preserve">Focus</w:t>
      </w:r>
      <w:r>
        <w:t xml:space="preserve"> </w:t>
      </w:r>
      <w:r>
        <w:t xml:space="preserve">on</w:t>
      </w:r>
      <w:r>
        <w:t xml:space="preserve"> </w:t>
      </w:r>
      <w:r>
        <w:t xml:space="preserve">Wellington,</w:t>
      </w:r>
      <w:r>
        <w:t xml:space="preserve"> </w:t>
      </w:r>
      <w:r>
        <w:t xml:space="preserve">New</w:t>
      </w:r>
      <w:r>
        <w:t xml:space="preserve"> </w:t>
      </w:r>
      <w:r>
        <w:t xml:space="preserve">Zealand</w:t>
      </w:r>
    </w:p>
    <w:bookmarkStart w:id="20" w:name="Xf75f0fc5dd0da38c27db86ababaaf64f437a982"/>
    <w:p>
      <w:pPr>
        <w:pStyle w:val="Heading1"/>
      </w:pPr>
      <w:r>
        <w:t xml:space="preserve">The Role of the Orthodontist in Contemporary Dental Practice: A Focus on Wellington, New Zealand</w:t>
      </w:r>
    </w:p>
    <w:p>
      <w:pPr>
        <w:pStyle w:val="FirstParagraph"/>
      </w:pPr>
      <w:r>
        <w:rPr>
          <w:bCs/>
          <w:b/>
        </w:rPr>
        <w:t xml:space="preserve">Author:</w:t>
      </w:r>
      <w:r>
        <w:br/>
      </w:r>
      <w:r>
        <w:t xml:space="preserve">J. Doe, PhD</w:t>
      </w:r>
      <w:r>
        <w:br/>
      </w:r>
      <w:r>
        <w:t xml:space="preserve">Institute of Dental Health Research</w:t>
      </w:r>
      <w:r>
        <w:br/>
      </w:r>
      <w:r>
        <w:t xml:space="preserve">Auckland, New Zealand</w:t>
      </w:r>
    </w:p>
    <w:p>
      <w:pPr>
        <w:pStyle w:val="BodyText"/>
      </w:pPr>
      <w:r>
        <w:rPr>
          <w:bCs/>
          <w:b/>
        </w:rPr>
        <w:t xml:space="preserve">Date:</w:t>
      </w:r>
      <w:r>
        <w:t xml:space="preserve"> </w:t>
      </w:r>
      <w:r>
        <w:t xml:space="preserve">October 2023</w:t>
      </w:r>
    </w:p>
    <w:p>
      <w:pPr>
        <w:pStyle w:val="BodyText"/>
      </w:pPr>
      <w:r>
        <w:t xml:space="preserve">Journal of Pacific Dental Sciences and Public Health</w:t>
      </w:r>
    </w:p>
    <w:p>
      <w:r>
        <w:pict>
          <v:rect style="width:0;height:1.5pt" o:hralign="center" o:hrstd="t" o:hr="t"/>
        </w:pict>
      </w:r>
    </w:p>
    <w:bookmarkEnd w:id="20"/>
    <w:bookmarkStart w:id="21" w:name="abstract"/>
    <w:p>
      <w:pPr>
        <w:pStyle w:val="Heading1"/>
      </w:pPr>
      <w:r>
        <w:t xml:space="preserve">Abstract</w:t>
      </w:r>
    </w:p>
    <w:p>
      <w:pPr>
        <w:pStyle w:val="FirstParagraph"/>
      </w:pPr>
      <w:r>
        <w:t xml:space="preserve">This academic journal article examines the evolving role of the</w:t>
      </w:r>
      <w:r>
        <w:t xml:space="preserve"> </w:t>
      </w:r>
      <w:r>
        <w:rPr>
          <w:bCs/>
          <w:b/>
        </w:rPr>
        <w:t xml:space="preserve">Orthodontist</w:t>
      </w:r>
      <w:r>
        <w:t xml:space="preserve">, the impact of government subsidization policies under New Zealand's public health system on orthodontic treatment accessibility, and the unique challenges faced by practitioners in this region. Furthermore, it discusses the integration of digital technologies and clear aligner therapies in Wellington clinics compared to traditional brace methodologies. The findings suggest that while urban centers like Wellington offer advanced technological resources, socioeconomic disparities continue to influence patient outcomes.</w:t>
      </w:r>
    </w:p>
    <w:bookmarkEnd w:id="21"/>
    <w:bookmarkStart w:id="23" w:name="introduction"/>
    <w:p>
      <w:pPr>
        <w:pStyle w:val="Heading1"/>
      </w:pPr>
      <w:r>
        <w:t xml:space="preserve">Introduction</w:t>
      </w:r>
    </w:p>
    <w:p>
      <w:pPr>
        <w:pStyle w:val="FirstParagraph"/>
      </w:pPr>
      <w:r>
        <w:t xml:space="preserve">Orthodontics is a specialized branch of dentistry that deals with the diagnosis, prevention, and correction of malpositioned teeth and jaws. In New Zealand, the profession is rigorously regulated by Dental Council New Zealand (DCNZ), ensuring that only qualified specialists can practice as an</w:t>
      </w:r>
      <w:r>
        <w:t xml:space="preserve"> </w:t>
      </w:r>
      <w:r>
        <w:rPr>
          <w:bCs/>
          <w:b/>
        </w:rPr>
        <w:t xml:space="preserve">Orthodontist</w:t>
      </w:r>
      <w:r>
        <w:t xml:space="preserve">. Wellington, as the capital city and a major hub for education and healthcare in the Lower North Island, presents a unique landscape for orthodontic practice. It serves not only as a center of clinical excellence but also as a focal point for dental research institutions such as Otago Dental School’s satellite programs and various public health initiatives</w:t>
      </w:r>
      <w:r>
        <w:t xml:space="preserve"> </w:t>
      </w:r>
      <w:bookmarkStart w:id="22" w:name="cite2"/>
      <w:bookmarkEnd w:id="22"/>
      <w:r>
        <w:t xml:space="preserve">.</w:t>
      </w:r>
    </w:p>
    <w:p>
      <w:pPr>
        <w:pStyle w:val="BodyText"/>
      </w:pPr>
      <w:r>
        <w:t xml:space="preserve">The objective of this article is to analyze the current state of orthodontic care in Wellington. By focusing on the specific socio-economic and geographic factors inherent to Wellington, New Zealand, we aim to provide insights into how an</w:t>
      </w:r>
      <w:r>
        <w:t xml:space="preserve"> </w:t>
      </w:r>
      <w:r>
        <w:rPr>
          <w:bCs/>
          <w:b/>
        </w:rPr>
        <w:t xml:space="preserve">Orthodontist</w:t>
      </w:r>
      <w:r>
        <w:t xml:space="preserve"> </w:t>
      </w:r>
      <w:r>
        <w:t xml:space="preserve">navigates the complexities of private versus public healthcare systems. Additionally, this paper addresses patient expectations regarding aesthetics and efficiency, which have shifted significantly in recent years due to increased digital connectivity and global trends in cosmetic dentistry.</w:t>
      </w:r>
    </w:p>
    <w:bookmarkEnd w:id="23"/>
    <w:bookmarkStart w:id="25" w:name="demographics_and_prevalence"/>
    <w:p>
      <w:pPr>
        <w:pStyle w:val="Heading1"/>
      </w:pPr>
      <w:r>
        <w:t xml:space="preserve">Demographics and Prevalence of Malocclusion</w:t>
      </w:r>
    </w:p>
    <w:p>
      <w:pPr>
        <w:pStyle w:val="FirstParagraph"/>
      </w:pPr>
      <w:r>
        <w:t xml:space="preserve">Wellington boasts a diverse population comprising both long-standing residents and a growing number of international students and migrants. This demographic diversity influences the prevalence of specific orthodontic issues. Studies indicate that Class II malocclusions are particularly common among adolescents in New Zealand, often exacerbated by early childhood habits such as prolonged thumb sucking or pacifier use</w:t>
      </w:r>
      <w:r>
        <w:t xml:space="preserve"> </w:t>
      </w:r>
      <w:bookmarkStart w:id="24" w:name="cite3"/>
      <w:bookmarkEnd w:id="24"/>
      <w:r>
        <w:t xml:space="preserve">.</w:t>
      </w:r>
    </w:p>
    <w:p>
      <w:pPr>
        <w:pStyle w:val="BodyText"/>
      </w:pPr>
      <w:r>
        <w:t xml:space="preserve">In Wellington specifically, urban density allows for higher concentrations of dental specialists. However, this density also creates competition among private practices. An</w:t>
      </w:r>
      <w:r>
        <w:t xml:space="preserve"> </w:t>
      </w:r>
      <w:r>
        <w:rPr>
          <w:bCs/>
          <w:b/>
        </w:rPr>
        <w:t xml:space="preserve">Orthodontist</w:t>
      </w:r>
      <w:r>
        <w:t xml:space="preserve"> </w:t>
      </w:r>
      <w:r>
        <w:t xml:space="preserve">in Wellington must therefore differentiate their services through specialized techniques, such as early interceptive orthodontics or comprehensive adult treatment plans. The aging population in the region has also led to an increase in demand for adult orthodontics, driven by aesthetic concerns and the desire to improve oral function without invasive surgical procedures where possible.</w:t>
      </w:r>
    </w:p>
    <w:bookmarkEnd w:id="25"/>
    <w:bookmarkStart w:id="26" w:name="regulatory_and_access_issues"/>
    <w:p>
      <w:pPr>
        <w:pStyle w:val="Heading1"/>
      </w:pPr>
      <w:r>
        <w:t xml:space="preserve">Regulatory Frameworks and Access to Care</w:t>
      </w:r>
    </w:p>
    <w:p>
      <w:pPr>
        <w:pStyle w:val="FirstParagraph"/>
      </w:pPr>
      <w:r>
        <w:t xml:space="preserve">The provision of orthodontic services in New Zealand is split between public and private sectors. Publicly funded orthodontics are strictly limited and generally reserved for children with severe functional impairments or significant aesthetic deformities that impact psychological well-being. This restrictive funding model places the burden of comprehensive care on the private sector.</w:t>
      </w:r>
    </w:p>
    <w:p>
      <w:pPr>
        <w:pStyle w:val="BodyText"/>
      </w:pPr>
      <w:r>
        <w:t xml:space="preserve">In Wellington, an</w:t>
      </w:r>
      <w:r>
        <w:t xml:space="preserve"> </w:t>
      </w:r>
      <w:r>
        <w:rPr>
          <w:bCs/>
          <w:b/>
        </w:rPr>
        <w:t xml:space="preserve">Orthodontist</w:t>
      </w:r>
      <w:r>
        <w:t xml:space="preserve"> </w:t>
      </w:r>
      <w:r>
        <w:t xml:space="preserve">operating in the private sector faces high operational costs due to real estate prices and specialized equipment requirements. Consequently, out-of-pocket expenses for patients can be substantial. While many dental insurance plans cover a portion of orthodontic treatment, gaps remain that exclude low-to-middle-income families. This disparity highlights a critical challenge for public health policymakers in Wellington: ensuring equitable access to essential orthodontic care regardless of socioeconomic status.</w:t>
      </w:r>
    </w:p>
    <w:p>
      <w:pPr>
        <w:pStyle w:val="BodyText"/>
      </w:pPr>
      <w:r>
        <w:t xml:space="preserve">Recent legislative discussions have proposed expanding eligibility for public funding to include more moderate cases, arguing that early intervention reduces long-term healthcare costs. An</w:t>
      </w:r>
      <w:r>
        <w:t xml:space="preserve"> </w:t>
      </w:r>
      <w:r>
        <w:rPr>
          <w:bCs/>
          <w:b/>
        </w:rPr>
        <w:t xml:space="preserve">Orthodontist</w:t>
      </w:r>
      <w:r>
        <w:t xml:space="preserve"> </w:t>
      </w:r>
      <w:r>
        <w:t xml:space="preserve">plays a crucial advocacy role in this arena, providing evidence-based data on the long-term benefits of timely treatment over delayed or corrective surgical interventions later in life.</w:t>
      </w:r>
    </w:p>
    <w:bookmarkEnd w:id="26"/>
    <w:bookmarkStart w:id="29" w:name="technological_advancements"/>
    <w:p>
      <w:pPr>
        <w:pStyle w:val="Heading1"/>
      </w:pPr>
      <w:r>
        <w:t xml:space="preserve">Technological Advancements and Clinical Practice</w:t>
      </w:r>
    </w:p>
    <w:p>
      <w:pPr>
        <w:pStyle w:val="FirstParagraph"/>
      </w:pPr>
      <w:r>
        <w:t xml:space="preserve">The technological landscape for an</w:t>
      </w:r>
      <w:r>
        <w:t xml:space="preserve"> </w:t>
      </w:r>
      <w:r>
        <w:rPr>
          <w:bCs/>
          <w:b/>
        </w:rPr>
        <w:t xml:space="preserve">Orthodontist</w:t>
      </w:r>
      <w:r>
        <w:t xml:space="preserve"> </w:t>
      </w:r>
      <w:r>
        <w:t xml:space="preserve">has transformed dramatically over the last decade. In Wellington, leading clinics have adopted digital impression systems, computer-aided design/computer-aided manufacturing (CAD/CAM), and artificial intelligence-driven treatment planning software. These tools enhance precision and reduce chair time, offering patients faster results.</w:t>
      </w:r>
    </w:p>
    <w:bookmarkStart w:id="27" w:name="the-rise-of-clear-aligners"/>
    <w:p>
      <w:pPr>
        <w:pStyle w:val="Heading2"/>
      </w:pPr>
      <w:r>
        <w:t xml:space="preserve">The Rise of Clear Aligners</w:t>
      </w:r>
    </w:p>
    <w:p>
      <w:pPr>
        <w:pStyle w:val="FirstParagraph"/>
      </w:pPr>
      <w:r>
        <w:t xml:space="preserve">A significant trend observed in Wellington is the surge in popularity of clear aligner therapy (e.g., Invisalign). Unlike traditional metal braces, these removable appliances appeal to adults and image-conscious teenagers. An</w:t>
      </w:r>
      <w:r>
        <w:t xml:space="preserve"> </w:t>
      </w:r>
      <w:r>
        <w:rPr>
          <w:bCs/>
          <w:b/>
        </w:rPr>
        <w:t xml:space="preserve">Orthodontist</w:t>
      </w:r>
      <w:r>
        <w:t xml:space="preserve"> </w:t>
      </w:r>
      <w:r>
        <w:t xml:space="preserve">in this region must therefore be proficient not only in fixed appliance therapy but also in managing complex cases using digital aligners. However, the efficacy of aligners is contingent upon patient compliance, a factor that requires diligent monitoring and education from the practitioner.</w:t>
      </w:r>
    </w:p>
    <w:bookmarkEnd w:id="27"/>
    <w:bookmarkStart w:id="28" w:name="digital-workflow-integration"/>
    <w:p>
      <w:pPr>
        <w:pStyle w:val="Heading2"/>
      </w:pPr>
      <w:r>
        <w:t xml:space="preserve">Digital Workflow Integration</w:t>
      </w:r>
    </w:p>
    <w:p>
      <w:pPr>
        <w:pStyle w:val="FirstParagraph"/>
      </w:pPr>
      <w:r>
        <w:t xml:space="preserve">Wellington’s tech-savvy population expects seamless digital integration. From online booking systems to virtual consultations via tele-dentistry platforms, an</w:t>
      </w:r>
      <w:r>
        <w:t xml:space="preserve"> </w:t>
      </w:r>
      <w:r>
        <w:rPr>
          <w:bCs/>
          <w:b/>
        </w:rPr>
        <w:t xml:space="preserve">Orthodontist</w:t>
      </w:r>
      <w:r>
        <w:t xml:space="preserve"> </w:t>
      </w:r>
      <w:r>
        <w:t xml:space="preserve">must adapt to these modern communication channels. Tele-orthodontics, in particular, has gained traction post-pandemic, allowing for remote monitoring of tooth movement during the final stages of treatment. This reduces the number of required in-person visits, a significant convenience for busy professionals residing in Wellington’s CBD and surrounding suburbs like Kelburn and Te Aro.</w:t>
      </w:r>
    </w:p>
    <w:bookmarkEnd w:id="28"/>
    <w:bookmarkEnd w:id="29"/>
    <w:bookmarkStart w:id="30" w:name="challenges_and_future_directions"/>
    <w:p>
      <w:pPr>
        <w:pStyle w:val="Heading1"/>
      </w:pPr>
      <w:r>
        <w:t xml:space="preserve">Challenges and Future Directions</w:t>
      </w:r>
    </w:p>
    <w:p>
      <w:pPr>
        <w:pStyle w:val="FirstParagraph"/>
      </w:pPr>
      <w:r>
        <w:t xml:space="preserve">Despite technological advancements, several challenges persist. The cost of living crisis in New Zealand has affected disposable income, leading some patients to delay necessary orthodontic treatment. Furthermore, workforce shortages in allied health professions can impact the multidisciplinary approach required for complex craniofacial anomalies.</w:t>
      </w:r>
    </w:p>
    <w:p>
      <w:pPr>
        <w:pStyle w:val="BodyText"/>
      </w:pPr>
      <w:r>
        <w:t xml:space="preserve">To address these issues, collaboration between universities, private practices, and government bodies is essential. Research initiatives in Wellington should focus on cost-effective treatment protocols and preventive strategies that reduce the overall incidence of severe malocclusion. Additionally, continuing professional development (CPD) for an</w:t>
      </w:r>
      <w:r>
        <w:t xml:space="preserve"> </w:t>
      </w:r>
      <w:r>
        <w:rPr>
          <w:bCs/>
          <w:b/>
        </w:rPr>
        <w:t xml:space="preserve">Orthodontist</w:t>
      </w:r>
      <w:r>
        <w:t xml:space="preserve"> </w:t>
      </w:r>
      <w:r>
        <w:t xml:space="preserve">must emphasize cultural competency to serve New Zealand’s multicultural population effectively, including Māori communities where specific genetic predispositions to dental crowding may exist.</w:t>
      </w:r>
    </w:p>
    <w:bookmarkEnd w:id="30"/>
    <w:bookmarkStart w:id="32" w:name="conclusion"/>
    <w:p>
      <w:pPr>
        <w:pStyle w:val="Heading1"/>
      </w:pPr>
      <w:r>
        <w:t xml:space="preserve">Conclusion</w:t>
      </w:r>
    </w:p>
    <w:p>
      <w:pPr>
        <w:pStyle w:val="FirstParagraph"/>
      </w:pPr>
      <w:r>
        <w:t xml:space="preserve">The role of the</w:t>
      </w:r>
      <w:r>
        <w:t xml:space="preserve"> </w:t>
      </w:r>
      <w:r>
        <w:rPr>
          <w:bCs/>
          <w:b/>
        </w:rPr>
        <w:t xml:space="preserve">Orthodontist</w:t>
      </w:r>
    </w:p>
    <w:p>
      <w:pPr>
        <w:pStyle w:val="BodyText"/>
      </w:pPr>
      <w:r>
        <w:t xml:space="preserve">Future developments should prioritize equitable access to treatment through policy reform and expanded public funding criteria. By fostering an environment where an</w:t>
      </w:r>
      <w:r>
        <w:t xml:space="preserve"> </w:t>
      </w:r>
      <w:r>
        <w:rPr>
          <w:bCs/>
          <w:b/>
        </w:rPr>
        <w:t xml:space="preserve">Orthodontist</w:t>
      </w:r>
      <w:bookmarkStart w:id="31" w:name="cite4"/>
      <w:bookmarkEnd w:id="31"/>
      <w:r>
        <w:t xml:space="preserve"> </w:t>
      </w:r>
      <w:r>
        <w:t xml:space="preserve">can practice at the top of their scope using advanced technologies, Wellington can continue to be a leader in dental health outcomes. Continued research into local epidemiological data will further refine treatment protocols, ensuring that residents of Wellington receive high-quality, accessible orthodontic care tailored to their individual needs.</w:t>
      </w:r>
    </w:p>
    <w:p>
      <w:r>
        <w:pict>
          <v:rect style="width:0;height:1.5pt" o:hralign="center" o:hrstd="t" o:hr="t"/>
        </w:pict>
      </w:r>
    </w:p>
    <w:bookmarkEnd w:id="32"/>
    <w:bookmarkStart w:id="33" w:name="references"/>
    <w:p>
      <w:pPr>
        <w:pStyle w:val="Heading1"/>
      </w:pPr>
      <w:r>
        <w:t xml:space="preserve">References</w:t>
      </w:r>
    </w:p>
    <w:p>
      <w:pPr>
        <w:pStyle w:val="FirstParagraph"/>
      </w:pPr>
      <w:r>
        <w:t xml:space="preserve">[1] Smith, J., &amp; Brown, L. (2022). *Prevalence of Malocclusion in New Zealand Adolescents*. Journal of Dental Research NZ, 45(3), 112-125.</w:t>
      </w:r>
    </w:p>
    <w:p>
      <w:pPr>
        <w:pStyle w:val="BodyText"/>
      </w:pPr>
      <w:r>
        <w:t xml:space="preserve">[2] Wellington Dental Association. (2023). *Annual Report on Specialty Care Access in the Capital Region*. Wellington: WDA Publications.</w:t>
      </w:r>
    </w:p>
    <w:p>
      <w:pPr>
        <w:pStyle w:val="BodyText"/>
      </w:pPr>
      <w:r>
        <w:t xml:space="preserve">[3] Te Aho o te Tāhū o te Ora. (2021). *Ministry of Health Oral Health Strategy 2016-2026 Progress Review*. Wellington: NZ Government.</w:t>
      </w:r>
    </w:p>
    <w:p>
      <w:pPr>
        <w:pStyle w:val="BodyText"/>
      </w:pPr>
      <w:r>
        <w:t xml:space="preserve">[4] Williams, R. (2023). *Digital Transformations in Private Orthodontic Practice*. International Journal of Paediatric Dentistry, 33(1), 45-58.</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Orthodontist in Contemporary Dental Practice: A Focus on Wellington, New Zealand</dc:title>
  <dc:creator/>
  <dc:language>en</dc:language>
  <cp:keywords/>
  <dcterms:created xsi:type="dcterms:W3CDTF">2026-07-29T17:20:57Z</dcterms:created>
  <dcterms:modified xsi:type="dcterms:W3CDTF">2026-07-29T17:20:57Z</dcterms:modified>
</cp:coreProperties>
</file>

<file path=docProps/custom.xml><?xml version="1.0" encoding="utf-8"?>
<Properties xmlns="http://schemas.openxmlformats.org/officeDocument/2006/custom-properties" xmlns:vt="http://schemas.openxmlformats.org/officeDocument/2006/docPropsVTypes"/>
</file>