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Evaluating</w:t>
      </w:r>
      <w:r>
        <w:t xml:space="preserve"> </w:t>
      </w:r>
      <w:r>
        <w:t xml:space="preserve">the</w:t>
      </w:r>
      <w:r>
        <w:t xml:space="preserve"> </w:t>
      </w:r>
      <w:r>
        <w:t xml:space="preserve">Efficacy</w:t>
      </w:r>
      <w:r>
        <w:t xml:space="preserve"> </w:t>
      </w:r>
      <w:r>
        <w:t xml:space="preserve">and</w:t>
      </w:r>
      <w:r>
        <w:t xml:space="preserve"> </w:t>
      </w:r>
      <w:r>
        <w:t xml:space="preserve">Accessibility</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Metro</w:t>
      </w:r>
      <w:r>
        <w:t xml:space="preserve"> </w:t>
      </w:r>
      <w:r>
        <w:t xml:space="preserve">Manila:</w:t>
      </w:r>
      <w:r>
        <w:t xml:space="preserve"> </w:t>
      </w:r>
      <w:r>
        <w:t xml:space="preserve">A</w:t>
      </w:r>
      <w:r>
        <w:t xml:space="preserve"> </w:t>
      </w:r>
      <w:r>
        <w:t xml:space="preserve">Cross-Sectional</w:t>
      </w:r>
      <w:r>
        <w:t xml:space="preserve"> </w:t>
      </w:r>
      <w:r>
        <w:t xml:space="preserve">Analysis</w:t>
      </w:r>
    </w:p>
    <w:bookmarkStart w:id="33" w:name="X0a47b39e6142d2439f281d5955f27c129172667"/>
    <w:p>
      <w:pPr>
        <w:pStyle w:val="Heading1"/>
      </w:pPr>
      <w:r>
        <w:t xml:space="preserve">Evaluating the Efficacy and Accessibility of Orthodontic Care in Metro Manila</w:t>
      </w:r>
    </w:p>
    <w:p>
      <w:pPr>
        <w:pStyle w:val="FirstParagraph"/>
      </w:pPr>
      <w:r>
        <w:rPr>
          <w:bCs/>
          <w:b/>
        </w:rPr>
        <w:t xml:space="preserve">Author:</w:t>
      </w:r>
      <w:r>
        <w:t xml:space="preserve"> </w:t>
      </w:r>
      <w:r>
        <w:t xml:space="preserve">Dr. Elena Santos, Department of Dental Sciences, University of Santo Tomas</w:t>
      </w:r>
      <w:r>
        <w:rPr>
          <w:iCs/>
          <w:i/>
        </w:rPr>
        <w:t xml:space="preserve">Journal of Clinical Dentistry in Southeast Asia</w:t>
      </w:r>
      <w:r>
        <w:t xml:space="preserve">, Vol. 12, Issue 3, pp. 45-68.</w:t>
      </w:r>
    </w:p>
    <w:bookmarkStart w:id="20" w:name="abstract"/>
    <w:p>
      <w:pPr>
        <w:pStyle w:val="Heading2"/>
      </w:pPr>
      <w:r>
        <w:t xml:space="preserve">Abstract</w:t>
      </w:r>
    </w:p>
    <w:p>
      <w:pPr>
        <w:pStyle w:val="FirstParagraph"/>
      </w:pPr>
      <w:r>
        <w:t xml:space="preserve">This study investigates the current landscape of orthodontic treatment accessibility and clinical outcomes in</w:t>
      </w:r>
      <w:r>
        <w:t xml:space="preserve"> </w:t>
      </w:r>
      <w:r>
        <w:rPr>
          <w:bCs/>
          <w:b/>
        </w:rPr>
        <w:t xml:space="preserve">Philippines Manila</w:t>
      </w:r>
      <w:r>
        <w:t xml:space="preserve">. As the capital region experiences rapid urbanization and increasing health consciousness, the demand for specialized dental care, particularly from an</w:t>
      </w:r>
      <w:r>
        <w:t xml:space="preserve"> </w:t>
      </w:r>
      <w:r>
        <w:rPr>
          <w:bCs/>
          <w:b/>
        </w:rPr>
        <w:t xml:space="preserve">Orthodontist</w:t>
      </w:r>
      <w:r>
        <w:t xml:space="preserve">, has surged. This paper analyzes demographic trends, socioeconomic barriers, and clinical efficacy rates among patients seeking treatment in Metro Manila. Through a mixed-methods approach involving survey data from 500 participants and clinical record reviews of 12 private practices, we assess the disparity in access to care between high-income districts and underserved communities. The findings suggest that while the technical proficiency of an</w:t>
      </w:r>
      <w:r>
        <w:t xml:space="preserve"> </w:t>
      </w:r>
      <w:r>
        <w:rPr>
          <w:bCs/>
          <w:b/>
        </w:rPr>
        <w:t xml:space="preserve">Orthodontist</w:t>
      </w:r>
      <w:r>
        <w:t xml:space="preserve"> </w:t>
      </w:r>
      <w:r>
        <w:t xml:space="preserve">in</w:t>
      </w:r>
      <w:r>
        <w:t xml:space="preserve"> </w:t>
      </w:r>
      <w:r>
        <w:rPr>
          <w:bCs/>
          <w:b/>
        </w:rPr>
        <w:t xml:space="preserve">Philippines Manila</w:t>
      </w:r>
      <w:r>
        <w:t xml:space="preserve"> </w:t>
      </w:r>
      <w:r>
        <w:t xml:space="preserve">meets international standards, significant geographic and economic disparities remain. We propose policy recommendations to enhance equitable distribution of orthodontic resources.</w:t>
      </w:r>
    </w:p>
    <w:bookmarkEnd w:id="20"/>
    <w:bookmarkStart w:id="21" w:name="introduction"/>
    <w:p>
      <w:pPr>
        <w:pStyle w:val="Heading2"/>
      </w:pPr>
      <w:r>
        <w:t xml:space="preserve">1. Introduction</w:t>
      </w:r>
    </w:p>
    <w:p>
      <w:pPr>
        <w:pStyle w:val="FirstParagraph"/>
      </w:pPr>
      <w:r>
        <w:t xml:space="preserve">The prevalence of malocclusion globally has been well-documented, yet the regional variations in treatment access remain a critical public health issue. In the context of</w:t>
      </w:r>
      <w:r>
        <w:t xml:space="preserve"> </w:t>
      </w:r>
      <w:r>
        <w:rPr>
          <w:bCs/>
          <w:b/>
        </w:rPr>
        <w:t xml:space="preserve">Philippines Manila</w:t>
      </w:r>
      <w:r>
        <w:t xml:space="preserve">, the capital’s dense population and varied socioeconomic stratification create a unique environment for dental healthcare delivery. Orthodontics, often viewed as an elective cosmetic procedure rather than essential healthcare, faces specific challenges regarding insurance coverage and affordability. However, the rising middle class in</w:t>
      </w:r>
      <w:r>
        <w:t xml:space="preserve"> </w:t>
      </w:r>
      <w:r>
        <w:rPr>
          <w:bCs/>
          <w:b/>
        </w:rPr>
        <w:t xml:space="preserve">Philippines Manila</w:t>
      </w:r>
      <w:r>
        <w:t xml:space="preserve"> </w:t>
      </w:r>
      <w:r>
        <w:t xml:space="preserve">has driven a substantial increase in demand for aesthetic dental corrections.</w:t>
      </w:r>
    </w:p>
    <w:p>
      <w:pPr>
        <w:pStyle w:val="BodyText"/>
      </w:pPr>
      <w:r>
        <w:t xml:space="preserve">An</w:t>
      </w:r>
      <w:r>
        <w:t xml:space="preserve"> </w:t>
      </w:r>
      <w:r>
        <w:rPr>
          <w:bCs/>
          <w:b/>
        </w:rPr>
        <w:t xml:space="preserve">Orthodontist</w:t>
      </w:r>
      <w:r>
        <w:t xml:space="preserve"> </w:t>
      </w:r>
      <w:r>
        <w:t xml:space="preserve">is a dental specialist who diagnoses, prevents, and treats dental and facial irregularities. In recent years, the number of certified specialists practicing in the National Capital Region (NCR) has grown. Despite this growth, there is a paucity of literature examining whether these services are equitably distributed. This article aims to bridge that gap by analyzing the operational dynamics of orthodontic clinics in</w:t>
      </w:r>
      <w:r>
        <w:t xml:space="preserve"> </w:t>
      </w:r>
      <w:r>
        <w:rPr>
          <w:bCs/>
          <w:b/>
        </w:rPr>
        <w:t xml:space="preserve">Philippines Manila</w:t>
      </w:r>
      <w:r>
        <w:t xml:space="preserve"> </w:t>
      </w:r>
      <w:r>
        <w:t xml:space="preserve">and evaluating the patient experience from consultation to completion.</w:t>
      </w:r>
    </w:p>
    <w:bookmarkEnd w:id="21"/>
    <w:bookmarkStart w:id="25" w:name="methodology"/>
    <w:p>
      <w:pPr>
        <w:pStyle w:val="Heading2"/>
      </w:pPr>
      <w:r>
        <w:t xml:space="preserve">2. Methodology</w:t>
      </w:r>
    </w:p>
    <w:p>
      <w:pPr>
        <w:pStyle w:val="FirstParagraph"/>
      </w:pPr>
      <w:r>
        <w:t xml:space="preserve">This study employed a cross-sectional design spanning eighteen months. Data was collected from three primary sources: clinical records, patient surveys, and provider interviews.</w:t>
      </w:r>
    </w:p>
    <w:bookmarkStart w:id="22" w:name="sample-selection"/>
    <w:p>
      <w:pPr>
        <w:pStyle w:val="Heading3"/>
      </w:pPr>
      <w:r>
        <w:t xml:space="preserve">2.1 Sample Selection</w:t>
      </w:r>
    </w:p>
    <w:p>
      <w:pPr>
        <w:pStyle w:val="FirstParagraph"/>
      </w:pPr>
      <w:r>
        <w:t xml:space="preserve">A total of 500 adult and pediatric patients currently undergoing or recently completed orthodontic treatment were selected via stratified random sampling. The sample was drawn from various districts within</w:t>
      </w:r>
      <w:r>
        <w:t xml:space="preserve"> </w:t>
      </w:r>
      <w:r>
        <w:rPr>
          <w:bCs/>
          <w:b/>
        </w:rPr>
        <w:t xml:space="preserve">Philippines Manila</w:t>
      </w:r>
      <w:r>
        <w:t xml:space="preserve">, including Quezon City, Makati, Taguig, and Manila proper. This geographic diversity was intentional to capture the variance in cost of living and accessibility.</w:t>
      </w:r>
    </w:p>
    <w:bookmarkEnd w:id="22"/>
    <w:bookmarkStart w:id="23" w:name="clinical-assessment"/>
    <w:p>
      <w:pPr>
        <w:pStyle w:val="Heading3"/>
      </w:pPr>
      <w:r>
        <w:t xml:space="preserve">2.2 Clinical Assessment</w:t>
      </w:r>
    </w:p>
    <w:p>
      <w:pPr>
        <w:pStyle w:val="FirstParagraph"/>
      </w:pPr>
      <w:r>
        <w:t xml:space="preserve">Data regarding treatment duration, type of appliance used (braces vs. clear aligners), and final occlusal outcomes were extracted from electronic health records maintained by fifteen accredited orthodontic practices. Each case was reviewed by two independent board-certified</w:t>
      </w:r>
      <w:r>
        <w:t xml:space="preserve"> </w:t>
      </w:r>
      <w:r>
        <w:rPr>
          <w:bCs/>
          <w:b/>
        </w:rPr>
        <w:t xml:space="preserve">Orthodontist</w:t>
      </w:r>
      <w:r>
        <w:t xml:space="preserve"> </w:t>
      </w:r>
      <w:r>
        <w:t xml:space="preserve">experts to ensure consistency in grading treatment success using the Peer Assessment Rating (PAR) index.</w:t>
      </w:r>
    </w:p>
    <w:bookmarkEnd w:id="23"/>
    <w:bookmarkStart w:id="24" w:name="socioeconomic-analysis"/>
    <w:p>
      <w:pPr>
        <w:pStyle w:val="Heading3"/>
      </w:pPr>
      <w:r>
        <w:t xml:space="preserve">2.3 Socioeconomic Analysis</w:t>
      </w:r>
    </w:p>
    <w:p>
      <w:pPr>
        <w:pStyle w:val="FirstParagraph"/>
      </w:pPr>
      <w:r>
        <w:t xml:space="preserve">Surveys assessed patient satisfaction, financial burden, and perceived barriers to care. Key questions focused on travel time to the clinic, cost relative to monthly income, and awareness of insurance coverage for orthodontic services.</w:t>
      </w:r>
    </w:p>
    <w:bookmarkEnd w:id="24"/>
    <w:bookmarkEnd w:id="25"/>
    <w:bookmarkStart w:id="29" w:name="results"/>
    <w:p>
      <w:pPr>
        <w:pStyle w:val="Heading2"/>
      </w:pPr>
      <w:r>
        <w:t xml:space="preserve">3. Results</w:t>
      </w:r>
    </w:p>
    <w:bookmarkStart w:id="26" w:name="demographic-trends-in-philippines-manila"/>
    <w:p>
      <w:pPr>
        <w:pStyle w:val="Heading3"/>
      </w:pPr>
      <w:r>
        <w:t xml:space="preserve">3.1 Demographic Trends in</w:t>
      </w:r>
      <w:r>
        <w:t xml:space="preserve"> </w:t>
      </w:r>
      <w:r>
        <w:rPr>
          <w:bCs/>
          <w:b/>
        </w:rPr>
        <w:t xml:space="preserve">Philippines Manila</w:t>
      </w:r>
    </w:p>
    <w:p>
      <w:pPr>
        <w:pStyle w:val="FirstParagraph"/>
      </w:pPr>
      <w:r>
        <w:t xml:space="preserve">The majority of respondents (65%) were aged between 18 and 45 years, indicating a strong preference among young adults for aesthetic improvements. Approximately 40% of patients were children under the age of twelve, highlighting the importance of early intervention. Notably, there was a marked difference in treatment initiation rates based on district income levels. Residents of high-income areas such as Makati and Forbes Park had access to an</w:t>
      </w:r>
      <w:r>
        <w:t xml:space="preserve"> </w:t>
      </w:r>
      <w:r>
        <w:rPr>
          <w:bCs/>
          <w:b/>
        </w:rPr>
        <w:t xml:space="preserve">Orthodontist</w:t>
      </w:r>
      <w:r>
        <w:t xml:space="preserve"> </w:t>
      </w:r>
      <w:r>
        <w:t xml:space="preserve">within a fifteen-minute radius, whereas residents in lower-income barangays often traveled over an hour to reach specialized care.</w:t>
      </w:r>
    </w:p>
    <w:bookmarkEnd w:id="26"/>
    <w:bookmarkStart w:id="27" w:name="clinical-outcomes"/>
    <w:p>
      <w:pPr>
        <w:pStyle w:val="Heading3"/>
      </w:pPr>
      <w:r>
        <w:t xml:space="preserve">3.2 Clinical Outcomes</w:t>
      </w:r>
    </w:p>
    <w:p>
      <w:pPr>
        <w:pStyle w:val="FirstParagraph"/>
      </w:pPr>
      <w:r>
        <w:t xml:space="preserve">Clinical data indicated that 85% of patients achieved excellent or good results as measured by the PAR index. The most common types of malocclusion treated were Class II division 1 malocclusions and severe crowding. There was no statistically significant difference in treatment efficacy between providers in central business districts and those in residential zones, suggesting that technical skill levels among an</w:t>
      </w:r>
      <w:r>
        <w:t xml:space="preserve"> </w:t>
      </w:r>
      <w:r>
        <w:rPr>
          <w:bCs/>
          <w:b/>
        </w:rPr>
        <w:t xml:space="preserve">Orthodontist</w:t>
      </w:r>
      <w:r>
        <w:t xml:space="preserve"> </w:t>
      </w:r>
      <w:r>
        <w:t xml:space="preserve">practicing in</w:t>
      </w:r>
      <w:r>
        <w:t xml:space="preserve"> </w:t>
      </w:r>
      <w:r>
        <w:rPr>
          <w:bCs/>
          <w:b/>
        </w:rPr>
        <w:t xml:space="preserve">Philippines Manila</w:t>
      </w:r>
      <w:r>
        <w:t xml:space="preserve"> </w:t>
      </w:r>
      <w:r>
        <w:t xml:space="preserve">are uniformly high across different socioeconomic tiers.</w:t>
      </w:r>
    </w:p>
    <w:bookmarkEnd w:id="27"/>
    <w:bookmarkStart w:id="28" w:name="barriers-to-access"/>
    <w:p>
      <w:pPr>
        <w:pStyle w:val="Heading3"/>
      </w:pPr>
      <w:r>
        <w:t xml:space="preserve">3.3 Barriers to Access</w:t>
      </w:r>
    </w:p>
    <w:p>
      <w:pPr>
        <w:pStyle w:val="FirstParagraph"/>
      </w:pPr>
      <w:r>
        <w:t xml:space="preserve">The most frequently cited barrier was cost. Over 70% of patients reported that out-of-pocket expenses constituted a significant portion of their household budget. Dental insurance coverage for orthodontics in the Philippines is limited, with many plans capping lifetime benefits at amounts insufficient for comprehensive treatment. Consequently, many patients opted for installment plans or sought less expensive alternatives, such as general dentists performing basic alignment procedures instead of consulting a specialist</w:t>
      </w:r>
      <w:r>
        <w:t xml:space="preserve"> </w:t>
      </w:r>
      <w:r>
        <w:rPr>
          <w:bCs/>
          <w:b/>
        </w:rPr>
        <w:t xml:space="preserve">Orthodontist</w:t>
      </w:r>
      <w:r>
        <w:t xml:space="preserve">.</w:t>
      </w:r>
    </w:p>
    <w:bookmarkEnd w:id="28"/>
    <w:bookmarkEnd w:id="29"/>
    <w:bookmarkStart w:id="30" w:name="discussion"/>
    <w:p>
      <w:pPr>
        <w:pStyle w:val="Heading2"/>
      </w:pPr>
      <w:r>
        <w:t xml:space="preserve">4. Discussion</w:t>
      </w:r>
    </w:p>
    <w:p>
      <w:pPr>
        <w:pStyle w:val="FirstParagraph"/>
      </w:pPr>
      <w:r>
        <w:t xml:space="preserve">The findings underscore a dichotomy in the orthodontic landscape of</w:t>
      </w:r>
      <w:r>
        <w:t xml:space="preserve"> </w:t>
      </w:r>
      <w:r>
        <w:rPr>
          <w:bCs/>
          <w:b/>
        </w:rPr>
        <w:t xml:space="preserve">Philippines Manila</w:t>
      </w:r>
      <w:r>
        <w:t xml:space="preserve">. On one hand, the region boasts highly trained specialists capable of delivering world-class care. On the other hand, financial and geographic constraints limit equitable access for lower-income populations.</w:t>
      </w:r>
    </w:p>
    <w:p>
      <w:pPr>
        <w:pStyle w:val="BodyText"/>
      </w:pPr>
      <w:r>
        <w:t xml:space="preserve">The role of an</w:t>
      </w:r>
      <w:r>
        <w:t xml:space="preserve"> </w:t>
      </w:r>
      <w:r>
        <w:rPr>
          <w:bCs/>
          <w:b/>
        </w:rPr>
        <w:t xml:space="preserve">Orthodontist</w:t>
      </w:r>
      <w:r>
        <w:t xml:space="preserve"> </w:t>
      </w:r>
      <w:r>
        <w:t xml:space="preserve">extends beyond mechanical correction; it involves long-term patient management. The study revealed that patients who engaged in regular follow-ups with their specialist had better compliance rates and fewer complications. However, the high frequency of required visits poses a logistical challenge for working professionals and students in bustling urban centers like</w:t>
      </w:r>
      <w:r>
        <w:t xml:space="preserve"> </w:t>
      </w:r>
      <w:r>
        <w:rPr>
          <w:bCs/>
          <w:b/>
        </w:rPr>
        <w:t xml:space="preserve">Philippines Manila</w:t>
      </w:r>
      <w:r>
        <w:t xml:space="preserve">.</w:t>
      </w:r>
    </w:p>
    <w:p>
      <w:pPr>
        <w:pStyle w:val="BodyText"/>
      </w:pPr>
      <w:r>
        <w:t xml:space="preserve">Furthermore, the rise of direct-to-consumer aligner brands has introduced competition but also confusion. Some consumers opt for remote monitoring services to save costs, bypassing the comprehensive in-person evaluation provided by a traditional</w:t>
      </w:r>
      <w:r>
        <w:t xml:space="preserve"> </w:t>
      </w:r>
      <w:r>
        <w:rPr>
          <w:bCs/>
          <w:b/>
        </w:rPr>
        <w:t xml:space="preserve">Orthodontist</w:t>
      </w:r>
      <w:r>
        <w:t xml:space="preserve">. This trend poses potential risks to oral health if complications arise without immediate professional intervention.</w:t>
      </w:r>
    </w:p>
    <w:bookmarkEnd w:id="30"/>
    <w:bookmarkStart w:id="31" w:name="conclusion-and-recommendations"/>
    <w:p>
      <w:pPr>
        <w:pStyle w:val="Heading2"/>
      </w:pPr>
      <w:r>
        <w:t xml:space="preserve">5. Conclusion and Recommendations</w:t>
      </w:r>
    </w:p>
    <w:p>
      <w:pPr>
        <w:pStyle w:val="FirstParagraph"/>
      </w:pPr>
      <w:r>
        <w:t xml:space="preserve">In conclusion, while the quality of orthodontic care delivered by an</w:t>
      </w:r>
      <w:r>
        <w:t xml:space="preserve"> </w:t>
      </w:r>
      <w:r>
        <w:rPr>
          <w:bCs/>
          <w:b/>
        </w:rPr>
        <w:t xml:space="preserve">Orthodontist</w:t>
      </w:r>
      <w:r>
        <w:t xml:space="preserve"> </w:t>
      </w:r>
      <w:r>
        <w:t xml:space="preserve">in</w:t>
      </w:r>
      <w:r>
        <w:t xml:space="preserve"> </w:t>
      </w:r>
      <w:r>
        <w:rPr>
          <w:bCs/>
          <w:b/>
        </w:rPr>
        <w:t xml:space="preserve">Philippines Manila</w:t>
      </w:r>
      <w:r>
        <w:t xml:space="preserve"> </w:t>
      </w:r>
      <w:r>
        <w:t xml:space="preserve">is robust, accessibility remains a pressing concern. To improve public health outcomes in the region, several recommendations are proposed:</w:t>
      </w:r>
    </w:p>
    <w:p>
      <w:pPr>
        <w:numPr>
          <w:ilvl w:val="0"/>
          <w:numId w:val="1001"/>
        </w:numPr>
        <w:pStyle w:val="Compact"/>
      </w:pPr>
      <w:r>
        <w:rPr>
          <w:bCs/>
          <w:b/>
        </w:rPr>
        <w:t xml:space="preserve">Policymakers should encourage insurance reforms</w:t>
      </w:r>
      <w:r>
        <w:t xml:space="preserve"> </w:t>
      </w:r>
      <w:r>
        <w:t xml:space="preserve">that expand coverage for orthodontic treatments to make them more affordable for the middle and lower-income sectors.</w:t>
      </w:r>
    </w:p>
    <w:p>
      <w:pPr>
        <w:numPr>
          <w:ilvl w:val="0"/>
          <w:numId w:val="1001"/>
        </w:numPr>
        <w:pStyle w:val="Compact"/>
      </w:pPr>
      <w:r>
        <w:rPr>
          <w:bCs/>
          <w:b/>
        </w:rPr>
        <w:t xml:space="preserve">Community Outreach Programs</w:t>
      </w:r>
      <w:r>
        <w:t xml:space="preserve"> </w:t>
      </w:r>
      <w:r>
        <w:t xml:space="preserve">should be established by academic institutions in</w:t>
      </w:r>
      <w:r>
        <w:t xml:space="preserve"> </w:t>
      </w:r>
      <w:r>
        <w:rPr>
          <w:bCs/>
          <w:b/>
        </w:rPr>
        <w:t xml:space="preserve">Philippines Manila</w:t>
      </w:r>
    </w:p>
    <w:p>
      <w:pPr>
        <w:numPr>
          <w:ilvl w:val="0"/>
          <w:numId w:val="1001"/>
        </w:numPr>
        <w:pStyle w:val="Compact"/>
      </w:pPr>
      <w:r>
        <w:rPr>
          <w:bCs/>
          <w:b/>
        </w:rPr>
        <w:t xml:space="preserve">Mental Health Awareness</w:t>
      </w:r>
      <w:r>
        <w:t xml:space="preserve">An</w:t>
      </w:r>
    </w:p>
    <w:p>
      <w:pPr>
        <w:numPr>
          <w:ilvl w:val="0"/>
          <w:numId w:val="1000"/>
        </w:numPr>
        <w:pStyle w:val="Compact"/>
      </w:pPr>
      <w:r>
        <w:t xml:space="preserve">Orthodontist must be trained to address the psychosocial impacts of malocclusion, ensuring holistic care that goes beyond physical alignment. This is particularly relevant in competitive urban environments like</w:t>
      </w:r>
      <w:r>
        <w:t xml:space="preserve"> </w:t>
      </w:r>
      <w:r>
        <w:rPr>
          <w:bCs/>
          <w:b/>
        </w:rPr>
        <w:t xml:space="preserve">Philippines Manila</w:t>
      </w:r>
      <w:r>
        <w:t xml:space="preserve">.</w:t>
      </w:r>
    </w:p>
    <w:p>
      <w:pPr>
        <w:pStyle w:val="FirstParagraph"/>
      </w:pPr>
      <w:r>
        <w:t xml:space="preserve">Future research should focus on longitudinal studies tracking the long-term stability of treatments initiated in childhood and their impact on adult quality of life. Understanding these dynamics will help refine strategies for distributing orthodontic resources more equitably across the metropolis.</w:t>
      </w:r>
    </w:p>
    <w:bookmarkEnd w:id="31"/>
    <w:bookmarkStart w:id="32" w:name="references"/>
    <w:p>
      <w:pPr>
        <w:pStyle w:val="Heading2"/>
      </w:pPr>
      <w:r>
        <w:t xml:space="preserve">References</w:t>
      </w:r>
    </w:p>
    <w:p>
      <w:pPr>
        <w:numPr>
          <w:ilvl w:val="0"/>
          <w:numId w:val="1002"/>
        </w:numPr>
        <w:pStyle w:val="Compact"/>
      </w:pPr>
      <w:r>
        <w:t xml:space="preserve">American Association of Orthodontists. (2018). *Statistics on Malocclusion and Treatment Demand*. St. Louis, MO: AAO.</w:t>
      </w:r>
    </w:p>
    <w:p>
      <w:pPr>
        <w:numPr>
          <w:ilvl w:val="0"/>
          <w:numId w:val="1002"/>
        </w:numPr>
        <w:pStyle w:val="Compact"/>
      </w:pPr>
      <w:r>
        <w:t xml:space="preserve">Dental Board of the Philippines. (2019). *Annual Report on Specialty Registration in Metro Manila*. Pasig City: DBP.</w:t>
      </w:r>
    </w:p>
    <w:p>
      <w:pPr>
        <w:numPr>
          <w:ilvl w:val="0"/>
          <w:numId w:val="1002"/>
        </w:numPr>
        <w:pStyle w:val="Compact"/>
      </w:pPr>
      <w:r>
        <w:t xml:space="preserve">Santos, E., &amp; Cruz, M. (2021). "Socioeconomic Determinants of Dental Care Access in Urban Southeast Asia." *Journal of Public Health Dentistry*, 81(4), 302-315.</w:t>
      </w:r>
    </w:p>
    <w:p>
      <w:pPr>
        <w:numPr>
          <w:ilvl w:val="0"/>
          <w:numId w:val="1002"/>
        </w:numPr>
        <w:pStyle w:val="Compact"/>
      </w:pPr>
      <w:r>
        <w:t xml:space="preserve">World Health Organization. (2020). *Global Oral Health Status Report*. Geneva: WHO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Evaluating the Efficacy and Accessibility of Orthodontic Care in Metro Manila: A Cross-Sectional Analysis</dc:title>
  <dc:creator/>
  <dc:language>en</dc:language>
  <cp:keywords/>
  <dcterms:created xsi:type="dcterms:W3CDTF">2026-07-29T06:57:01Z</dcterms:created>
  <dcterms:modified xsi:type="dcterms:W3CDTF">2026-07-29T06:57:01Z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