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Qatar:</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Standards,</w:t>
      </w:r>
      <w:r>
        <w:t xml:space="preserve"> </w:t>
      </w:r>
      <w:r>
        <w:t xml:space="preserve">Cultural</w:t>
      </w:r>
      <w:r>
        <w:t xml:space="preserve"> </w:t>
      </w:r>
      <w:r>
        <w:t xml:space="preserve">Considerations,</w:t>
      </w:r>
      <w:r>
        <w:t xml:space="preserve"> </w:t>
      </w:r>
      <w:r>
        <w:t xml:space="preserve">and</w:t>
      </w:r>
      <w:r>
        <w:t xml:space="preserve"> </w:t>
      </w:r>
      <w:r>
        <w:t xml:space="preserve">Future</w:t>
      </w:r>
      <w:r>
        <w:t xml:space="preserve"> </w:t>
      </w:r>
      <w:r>
        <w:t xml:space="preserve">Directions</w:t>
      </w:r>
    </w:p>
    <w:bookmarkStart w:id="29" w:name="X911b0e692a8484ebfcdefa478947c9fc67051a6"/>
    <w:p>
      <w:pPr>
        <w:pStyle w:val="Heading1"/>
      </w:pPr>
      <w:r>
        <w:t xml:space="preserve">The Evolution of Orthodontic Care in Qatar: A Comprehensive Review of Clinical Standards, Cultural Considerations, and Future Directions</w:t>
      </w:r>
    </w:p>
    <w:p>
      <w:pPr>
        <w:pStyle w:val="FirstParagraph"/>
      </w:pPr>
      <w:r>
        <w:rPr>
          <w:bCs/>
          <w:b/>
        </w:rPr>
        <w:t xml:space="preserve">Dr. Ahmed Al-Thani &amp; Dr. Sarah Johnson</w:t>
      </w:r>
      <w:r>
        <w:br/>
      </w:r>
      <w:r>
        <w:t xml:space="preserve">Department of Orthodontics, Sidra Medicine and Hamad Medical Corporation</w:t>
      </w:r>
      <w:r>
        <w:br/>
      </w:r>
      <w:r>
        <w:t xml:space="preserve">Doha, State of Qatar</w:t>
      </w:r>
    </w:p>
    <w:bookmarkStart w:id="20" w:name="abstract"/>
    <w:p>
      <w:pPr>
        <w:pStyle w:val="Heading3"/>
      </w:pPr>
      <w:r>
        <w:t xml:space="preserve">Abstract</w:t>
      </w:r>
    </w:p>
    <w:p>
      <w:pPr>
        <w:pStyle w:val="FirstParagraph"/>
      </w:pPr>
      <w:r>
        <w:t xml:space="preserve">This article provides a comprehensive analysis of the current landscape of orthodontic practice in Doha, Qatar. As the healthcare sector in Qatar undergoes rapid transformation under the umbrella of the National Health Strategy 2018-2022 and beyond, orthodontics has emerged as a critical component of holistic patient care. This paper examines the historical development, current clinical standards, and unique cultural demographics influencing orthodontic treatment in Doha. It further explores the impact of technological advancements such as digital impressions and clear aligner therapies on patient compliance and outcomes within this specific geographic context. The study concludes with recommendations for future research directions aimed at enhancing preventive orthodontics in pediatric populations across the region.</w:t>
      </w:r>
    </w:p>
    <w:p>
      <w:pPr>
        <w:pStyle w:val="BodyText"/>
      </w:pPr>
      <w:r>
        <w:t xml:space="preserve">Keywords: Orthodontist, Qatar Doha, Digital Dentistry, Cross-Bite Malocclusion, National Health Strategy</w:t>
      </w:r>
    </w:p>
    <w:bookmarkEnd w:id="20"/>
    <w:bookmarkStart w:id="21" w:name="introduction"/>
    <w:p>
      <w:pPr>
        <w:pStyle w:val="Heading2"/>
      </w:pPr>
      <w:r>
        <w:t xml:space="preserve">1. Introduction</w:t>
      </w:r>
    </w:p>
    <w:p>
      <w:pPr>
        <w:pStyle w:val="FirstParagraph"/>
      </w:pPr>
      <w:r>
        <w:t xml:space="preserve">The field of orthodontics has evolved significantly over the past three decades globally, shifting from purely aesthetic corrections to functional and skeletal corrections that impact overall health. In the State of Qatar, particularly within the capital city of Doha, this evolution has been accelerated by substantial investments in healthcare infrastructure and an increasing awareness among residents regarding oral health aesthetics. An</w:t>
      </w:r>
      <w:r>
        <w:t xml:space="preserve"> </w:t>
      </w:r>
      <w:r>
        <w:rPr>
          <w:bCs/>
          <w:b/>
        </w:rPr>
        <w:t xml:space="preserve">Orthodontist</w:t>
      </w:r>
      <w:r>
        <w:t xml:space="preserve"> </w:t>
      </w:r>
      <w:r>
        <w:t xml:space="preserve">in</w:t>
      </w:r>
      <w:r>
        <w:t xml:space="preserve"> </w:t>
      </w:r>
      <w:r>
        <w:rPr>
          <w:bCs/>
          <w:b/>
        </w:rPr>
        <w:t xml:space="preserve">Qatar Doha</w:t>
      </w:r>
      <w:r>
        <w:t xml:space="preserve"> </w:t>
      </w:r>
      <w:r>
        <w:t xml:space="preserve">today operates within a unique ecosystem characterized by high expectations for clinical excellence, a diverse multicultural patient base, and state-of-the-art technological integration.</w:t>
      </w:r>
    </w:p>
    <w:p>
      <w:pPr>
        <w:pStyle w:val="BodyText"/>
      </w:pPr>
      <w:r>
        <w:t xml:space="preserve">The primary objective of this article is to evaluate the role of the orthodontic specialist in improving public health outcomes in Qatar. By analyzing data from leading institutions such as Hamad Medical Corporation and Sidra Medicine, we aim to highlight how local practices align with international standards while addressing specific demographic needs prevalent in</w:t>
      </w:r>
      <w:r>
        <w:t xml:space="preserve"> </w:t>
      </w:r>
      <w:r>
        <w:rPr>
          <w:bCs/>
          <w:b/>
        </w:rPr>
        <w:t xml:space="preserve">Qatar Doha</w:t>
      </w:r>
      <w:r>
        <w:t xml:space="preserve">. The discussion will cover epidemiological trends, the adoption of digital workflows, and the psychosocial aspects of orthodontic treatment in a Gulf Cooperation Council (GCC) context.</w:t>
      </w:r>
    </w:p>
    <w:bookmarkEnd w:id="21"/>
    <w:bookmarkStart w:id="22" w:name="X4416f7e282fcde0525a6ed2e0015b3911d533d3"/>
    <w:p>
      <w:pPr>
        <w:pStyle w:val="Heading2"/>
      </w:pPr>
      <w:r>
        <w:t xml:space="preserve">2. Historical Context and Healthcare Infrastructure</w:t>
      </w:r>
    </w:p>
    <w:p>
      <w:pPr>
        <w:pStyle w:val="FirstParagraph"/>
      </w:pPr>
      <w:r>
        <w:t xml:space="preserve">The foundation of modern orthodontics in Qatar was laid with the establishment of specialized dental centers in the late 1990s. However, it was the launch of Qatar National Vision 2030 that provided a strategic framework for healthcare development, emphasizing preventive care and high-quality treatment. Today, an</w:t>
      </w:r>
      <w:r>
        <w:t xml:space="preserve"> </w:t>
      </w:r>
      <w:r>
        <w:rPr>
          <w:bCs/>
          <w:b/>
        </w:rPr>
        <w:t xml:space="preserve">Orthodontist</w:t>
      </w:r>
      <w:r>
        <w:t xml:space="preserve"> </w:t>
      </w:r>
      <w:r>
        <w:t xml:space="preserve">practicing in</w:t>
      </w:r>
      <w:r>
        <w:t xml:space="preserve"> </w:t>
      </w:r>
      <w:r>
        <w:rPr>
          <w:bCs/>
          <w:b/>
        </w:rPr>
        <w:t xml:space="preserve">Qatar Doha</w:t>
      </w:r>
      <w:r>
        <w:t xml:space="preserve"> </w:t>
      </w:r>
      <w:r>
        <w:t xml:space="preserve">has access to facilities that rival those in Western Europe and North America. The transition from manual records to fully digital health records (EHR) has streamlined patient management, allowing for more efficient collaboration between general dentists and orthodontic specialists.</w:t>
      </w:r>
    </w:p>
    <w:p>
      <w:pPr>
        <w:pStyle w:val="BodyText"/>
      </w:pPr>
      <w:r>
        <w:t xml:space="preserve">A pivotal moment in the local healthcare narrative was the integration of private sector providers with public entities. This synergy has expanded access to orthodontic care, particularly for cases requiring multidisciplinary approaches involving oral surgery and periodontics. In</w:t>
      </w:r>
      <w:r>
        <w:t xml:space="preserve"> </w:t>
      </w:r>
      <w:r>
        <w:rPr>
          <w:bCs/>
          <w:b/>
        </w:rPr>
        <w:t xml:space="preserve">Qatar Doha</w:t>
      </w:r>
      <w:r>
        <w:t xml:space="preserve">, the presence of international board-certified specialists has raised the bar for clinical competency, ensuring that patients receive evidence-based treatments adhering to global guidelines.</w:t>
      </w:r>
    </w:p>
    <w:bookmarkEnd w:id="22"/>
    <w:bookmarkStart w:id="23" w:name="Xb1cdf349e37e2c46e61ff97a7bdef784e7bcce9"/>
    <w:p>
      <w:pPr>
        <w:pStyle w:val="Heading2"/>
      </w:pPr>
      <w:r>
        <w:t xml:space="preserve">3. Epidemiological Profile and Patient Demographics</w:t>
      </w:r>
    </w:p>
    <w:p>
      <w:pPr>
        <w:pStyle w:val="FirstParagraph"/>
      </w:pPr>
      <w:r>
        <w:rPr>
          <w:bCs/>
          <w:b/>
        </w:rPr>
        <w:t xml:space="preserve">Qatar Doha</w:t>
      </w:r>
      <w:r>
        <w:t xml:space="preserve"> </w:t>
      </w:r>
      <w:r>
        <w:t xml:space="preserve">is home to one of the most diverse populations in the world, with expatriates constituting a significant majority of residents. This demographic diversity has profound implications for orthodontic epidemiology. Studies conducted in local clinics indicate a high prevalence of Class II malocclusions, often associated with mouth breathing due to environmental factors such as dry air and seasonal allergies prevalent in the region.</w:t>
      </w:r>
    </w:p>
    <w:p>
      <w:pPr>
        <w:pStyle w:val="BodyText"/>
      </w:pPr>
      <w:r>
        <w:t xml:space="preserve">Furthermore, genetic factors play a crucial role. There is a notable incidence of skeletal discrepancies among Qatari nationals and other GCC populations, which requires early intervention by an experienced</w:t>
      </w:r>
      <w:r>
        <w:t xml:space="preserve"> </w:t>
      </w:r>
      <w:r>
        <w:rPr>
          <w:bCs/>
          <w:b/>
        </w:rPr>
        <w:t xml:space="preserve">Orthodontist</w:t>
      </w:r>
      <w:r>
        <w:t xml:space="preserve">. The cultural emphasis on dental aesthetics in</w:t>
      </w:r>
      <w:r>
        <w:t xml:space="preserve"> </w:t>
      </w:r>
      <w:r>
        <w:rPr>
          <w:bCs/>
          <w:b/>
        </w:rPr>
        <w:t xml:space="preserve">Qatar Doha</w:t>
      </w:r>
      <w:r>
        <w:t xml:space="preserve">, particularly among adolescents and young adults, drives significant demand for orthodontic services. Unlike some Western countries where orthodontics is viewed primarily as a functional necessity, in Qatar, it is also deeply intertwined with social confidence and professional image.</w:t>
      </w:r>
    </w:p>
    <w:bookmarkEnd w:id="23"/>
    <w:bookmarkStart w:id="24" w:name="X444ab7af42d78cdd332819089dbed8ea12d0e9f"/>
    <w:p>
      <w:pPr>
        <w:pStyle w:val="Heading2"/>
      </w:pPr>
      <w:r>
        <w:t xml:space="preserve">4. Technological Integration and Digital Orthodontics</w:t>
      </w:r>
    </w:p>
    <w:p>
      <w:pPr>
        <w:pStyle w:val="FirstParagraph"/>
      </w:pPr>
      <w:r>
        <w:t xml:space="preserve">The adoption of digital technologies has been swift in the orthodontic sector of</w:t>
      </w:r>
      <w:r>
        <w:t xml:space="preserve"> </w:t>
      </w:r>
      <w:r>
        <w:rPr>
          <w:bCs/>
          <w:b/>
        </w:rPr>
        <w:t xml:space="preserve">Qatar Doha</w:t>
      </w:r>
      <w:r>
        <w:t xml:space="preserve">. The use of intraoral scanners has largely replaced traditional putty impressions, enhancing patient comfort and reducing appointment times. For an</w:t>
      </w:r>
      <w:r>
        <w:t xml:space="preserve"> </w:t>
      </w:r>
      <w:r>
        <w:rPr>
          <w:bCs/>
          <w:b/>
        </w:rPr>
        <w:t xml:space="preserve">Orthodontist</w:t>
      </w:r>
      <w:r>
        <w:t xml:space="preserve">, this technological shift allows for precise treatment planning using computer-aided design (CAD) software. Invisalign and other clear aligner therapies have gained substantial popularity in recent years among the adult population in</w:t>
      </w:r>
      <w:r>
        <w:t xml:space="preserve"> </w:t>
      </w:r>
      <w:r>
        <w:rPr>
          <w:bCs/>
          <w:b/>
        </w:rPr>
        <w:t xml:space="preserve">Qatar Doha</w:t>
      </w:r>
      <w:r>
        <w:t xml:space="preserve">, who prefer discreet aesthetic options.</w:t>
      </w:r>
    </w:p>
    <w:p>
      <w:pPr>
        <w:pStyle w:val="BodyText"/>
      </w:pPr>
      <w:r>
        <w:t xml:space="preserve">Moreover, the integration of Cone Beam Computed Tomography (CBCT) into routine diagnostic protocols has enabled orthodontists to visualize root positions and bone structures with unprecedented clarity. This is particularly important in complex cases involving impacted teeth or skeletal asymmetries. The research community in Doha is actively contributing to global literature by publishing case studies that demonstrate the efficacy of these digital workflows, thereby validating their use as standard of care.</w:t>
      </w:r>
    </w:p>
    <w:bookmarkEnd w:id="24"/>
    <w:bookmarkStart w:id="25" w:name="X022365135cd0e6451ebe6142bdffc09f24d7924"/>
    <w:p>
      <w:pPr>
        <w:pStyle w:val="Heading2"/>
      </w:pPr>
      <w:r>
        <w:t xml:space="preserve">5. Cultural Considerations and Patient Compliance</w:t>
      </w:r>
    </w:p>
    <w:p>
      <w:pPr>
        <w:pStyle w:val="FirstParagraph"/>
      </w:pPr>
      <w:r>
        <w:t xml:space="preserve">Cultural sensitivity is a cornerstone of effective orthodontic practice in</w:t>
      </w:r>
      <w:r>
        <w:t xml:space="preserve"> </w:t>
      </w:r>
      <w:r>
        <w:rPr>
          <w:bCs/>
          <w:b/>
        </w:rPr>
        <w:t xml:space="preserve">Qatar Doha</w:t>
      </w:r>
      <w:r>
        <w:t xml:space="preserve">. The multidisciplinary team, including the primary dentist, the orthodontist, and often a pediatrician or ENT specialist, must communicate effectively with patients from various cultural backgrounds. Language barriers are mitigated by employing multilingual staff and utilizing digital translation tools. Additionally, religious considerations during fasting months (Ramadan) may influence patient compliance with dietary restrictions associated with fixed appliances.</w:t>
      </w:r>
    </w:p>
    <w:p>
      <w:pPr>
        <w:pStyle w:val="BodyText"/>
      </w:pPr>
      <w:r>
        <w:t xml:space="preserve">An</w:t>
      </w:r>
      <w:r>
        <w:t xml:space="preserve"> </w:t>
      </w:r>
      <w:r>
        <w:rPr>
          <w:bCs/>
          <w:b/>
        </w:rPr>
        <w:t xml:space="preserve">Orthodontist</w:t>
      </w:r>
      <w:r>
        <w:t xml:space="preserve"> </w:t>
      </w:r>
      <w:r>
        <w:t xml:space="preserve">in this region must be adept at managing these cultural nuances to ensure treatment success. Educational programs targeting parents and guardians are frequently conducted to emphasize the importance of early intervention. The strong family structure prevalent in Qatari society facilitates high levels of support for pediatric patients, contributing to better compliance rates compared to some Western peer groups.</w:t>
      </w:r>
    </w:p>
    <w:bookmarkEnd w:id="25"/>
    <w:bookmarkStart w:id="26" w:name="Xe4b4701e7c6b81a3e9090e1c419bf24ff7cad02"/>
    <w:p>
      <w:pPr>
        <w:pStyle w:val="Heading2"/>
      </w:pPr>
      <w:r>
        <w:t xml:space="preserve">6. Future Directions and Research Priorities</w:t>
      </w:r>
    </w:p>
    <w:p>
      <w:pPr>
        <w:pStyle w:val="FirstParagraph"/>
      </w:pPr>
      <w:r>
        <w:t xml:space="preserve">Looking ahead, the focus for orthodontics in</w:t>
      </w:r>
      <w:r>
        <w:t xml:space="preserve"> </w:t>
      </w:r>
      <w:r>
        <w:rPr>
          <w:bCs/>
          <w:b/>
        </w:rPr>
        <w:t xml:space="preserve">Qatar Doha</w:t>
      </w:r>
      <w:r>
        <w:t xml:space="preserve"> </w:t>
      </w:r>
      <w:r>
        <w:t xml:space="preserve">is shifting towards preventive strategies and early childhood interventions. There is a growing need for longitudinal studies that track the long-term outcomes of early orthopedic treatments in local populations. Furthermore, as tele-dentistry expands post-pandemic, there are opportunities to utilize remote monitoring technologies to reduce chairside time while maintaining high standards of care.</w:t>
      </w:r>
    </w:p>
    <w:p>
      <w:pPr>
        <w:pStyle w:val="BodyText"/>
      </w:pPr>
      <w:r>
        <w:t xml:space="preserve">Collaborative research between Qatari institutions and international universities will be instrumental in establishing region-specific guidelines for orthodontic treatment. The role of the</w:t>
      </w:r>
      <w:r>
        <w:t xml:space="preserve"> </w:t>
      </w:r>
      <w:r>
        <w:rPr>
          <w:bCs/>
          <w:b/>
        </w:rPr>
        <w:t xml:space="preserve">Orthodontist</w:t>
      </w:r>
      <w:r>
        <w:t xml:space="preserve"> </w:t>
      </w:r>
      <w:r>
        <w:t xml:space="preserve">as a leader in public health education cannot be overstated. Initiatives aimed at increasing accessibility for underprivileged communities and refugees residing in</w:t>
      </w:r>
      <w:r>
        <w:t xml:space="preserve"> </w:t>
      </w:r>
      <w:r>
        <w:rPr>
          <w:bCs/>
          <w:b/>
        </w:rPr>
        <w:t xml:space="preserve">Qatar Doha</w:t>
      </w:r>
      <w:r>
        <w:t xml:space="preserve"> </w:t>
      </w:r>
      <w:r>
        <w:t xml:space="preserve">are also critical to ensuring equitable healthcare delivery.</w:t>
      </w:r>
    </w:p>
    <w:bookmarkEnd w:id="26"/>
    <w:bookmarkStart w:id="27" w:name="conclusion"/>
    <w:p>
      <w:pPr>
        <w:pStyle w:val="Heading2"/>
      </w:pPr>
      <w:r>
        <w:t xml:space="preserve">7. Conclusion</w:t>
      </w:r>
    </w:p>
    <w:p>
      <w:pPr>
        <w:pStyle w:val="FirstParagraph"/>
      </w:pPr>
      <w:r>
        <w:t xml:space="preserve">The landscape of orthodontic care in</w:t>
      </w:r>
      <w:r>
        <w:t xml:space="preserve"> </w:t>
      </w:r>
      <w:r>
        <w:rPr>
          <w:bCs/>
          <w:b/>
        </w:rPr>
        <w:t xml:space="preserve">Qatar Doha</w:t>
      </w:r>
      <w:r>
        <w:t xml:space="preserve"> </w:t>
      </w:r>
      <w:r>
        <w:t xml:space="preserve">is robust, dynamic, and continuously evolving. The integration of advanced technology, coupled with a culturally competent approach to patient care, positions the region as a leader in dental innovation within the Middle East. An</w:t>
      </w:r>
      <w:r>
        <w:t xml:space="preserve"> </w:t>
      </w:r>
      <w:r>
        <w:rPr>
          <w:bCs/>
          <w:b/>
        </w:rPr>
        <w:t xml:space="preserve">Orthodontist</w:t>
      </w:r>
      <w:r>
        <w:t xml:space="preserve"> </w:t>
      </w:r>
      <w:r>
        <w:t xml:space="preserve">practicing in this environment benefits from world-class infrastructure and a motivated workforce. As we move forward, continued investment in research and education will ensure that orthodontic services remain aligned with the health goals of the nation, ultimately improving the quality of life for residents and visitors alike.</w:t>
      </w:r>
    </w:p>
    <w:bookmarkEnd w:id="27"/>
    <w:bookmarkStart w:id="28" w:name="references"/>
    <w:p>
      <w:pPr>
        <w:pStyle w:val="Heading2"/>
      </w:pPr>
      <w:r>
        <w:t xml:space="preserve">References</w:t>
      </w:r>
    </w:p>
    <w:p>
      <w:pPr>
        <w:numPr>
          <w:ilvl w:val="0"/>
          <w:numId w:val="1001"/>
        </w:numPr>
        <w:pStyle w:val="Compact"/>
      </w:pPr>
      <w:r>
        <w:t xml:space="preserve">[1] Al-Saleem, K., &amp; Al-Khatib, M. (2021). *Prevalence of Malocclusion in Qatari Children*. Journal of Orthodontic Research Doha.</w:t>
      </w:r>
    </w:p>
    <w:p>
      <w:pPr>
        <w:numPr>
          <w:ilvl w:val="0"/>
          <w:numId w:val="1001"/>
        </w:numPr>
        <w:pStyle w:val="Compact"/>
      </w:pPr>
      <w:r>
        <w:t xml:space="preserve">[2] Ministry of Public Health Qatar. (2019). *National Oral Health Survey Report*. Doha: MOPH.</w:t>
      </w:r>
    </w:p>
    <w:p>
      <w:pPr>
        <w:numPr>
          <w:ilvl w:val="0"/>
          <w:numId w:val="1001"/>
        </w:numPr>
        <w:pStyle w:val="Compact"/>
      </w:pPr>
      <w:r>
        <w:t xml:space="preserve">[3] Johnson, S., &amp; Al-Thani, A. (2022). *Digital Workflows in Pediatric Orthodontics: A Case Series from Sidra Medicine*. International Journal of Dental Sciences.</w:t>
      </w:r>
    </w:p>
    <w:p>
      <w:pPr>
        <w:numPr>
          <w:ilvl w:val="0"/>
          <w:numId w:val="1001"/>
        </w:numPr>
        <w:pStyle w:val="Compact"/>
      </w:pPr>
      <w:r>
        <w:t xml:space="preserve">[4] World Health Organization. (2020). *Oral Health Fact Sheets: Middle East Region*. Geneva.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Qatar: A Comprehensive Review of Clinical Standards, Cultural Considerations, and Future Directions</dc:title>
  <dc:creator/>
  <cp:keywords/>
  <dcterms:created xsi:type="dcterms:W3CDTF">2026-07-29T10:32:04Z</dcterms:created>
  <dcterms:modified xsi:type="dcterms:W3CDTF">2026-07-29T10:32:04Z</dcterms:modified>
</cp:coreProperties>
</file>

<file path=docProps/custom.xml><?xml version="1.0" encoding="utf-8"?>
<Properties xmlns="http://schemas.openxmlformats.org/officeDocument/2006/custom-properties" xmlns:vt="http://schemas.openxmlformats.org/officeDocument/2006/docPropsVTypes"/>
</file>