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28" w:name="X5c95131f76c3cf6d4270291de4e2ff24c19efe7"/>
    <w:p>
      <w:pPr>
        <w:pStyle w:val="Heading1"/>
      </w:pPr>
      <w:r>
        <w:t xml:space="preserve">The Evolving Landscape of Orthodontic Care in Vietnam Ho Chi Minh City:</w:t>
      </w:r>
      <w:r>
        <w:br/>
      </w:r>
      <w:r>
        <w:t xml:space="preserve">Challenges, Innovations, and Future Directions</w:t>
      </w:r>
    </w:p>
    <w:p>
      <w:pPr>
        <w:pStyle w:val="FirstParagraph"/>
      </w:pPr>
      <w:r>
        <w:rPr>
          <w:bCs/>
          <w:b/>
        </w:rPr>
        <w:t xml:space="preserve">A. Nguyen &amp; B. Tran</w:t>
      </w:r>
      <w:r>
        <w:br/>
      </w:r>
      <w:r>
        <w:rPr>
          <w:bCs/>
          <w:b/>
        </w:rPr>
        <w:t xml:space="preserve">Department of Dental Sciences, University of Medicine and Pharmacy at Ho Chi Minh City</w:t>
      </w:r>
    </w:p>
    <w:bookmarkStart w:id="20" w:name="abstract"/>
    <w:p>
      <w:pPr>
        <w:pStyle w:val="Heading3"/>
      </w:pPr>
      <w:r>
        <w:t xml:space="preserve">Abstract</w:t>
      </w:r>
    </w:p>
    <w:p>
      <w:pPr>
        <w:pStyle w:val="FirstParagraph"/>
      </w:pPr>
      <w:r>
        <w:t xml:space="preserve">This article examines the rapid development of orthodontic services within Vietnam Ho Chi Minh City, analyzing the socioeconomic drivers, technological advancements, and clinical challenges facing the profession. As urbanization accelerates in this metropolitan hub, the demand for aesthetic dental corrections has surged. This study evaluates the transition from traditional braces to clear aligner therapy among an</w:t>
      </w:r>
      <w:r>
        <w:t xml:space="preserve"> </w:t>
      </w:r>
      <w:r>
        <w:rPr>
          <w:bCs/>
          <w:b/>
        </w:rPr>
        <w:t xml:space="preserve">Orthodontist</w:t>
      </w:r>
      <w:r>
        <w:t xml:space="preserve"> </w:t>
      </w:r>
      <w:r>
        <w:t xml:space="preserve">practicing in this dynamic region. Furthermore, it addresses the unique skeletal characteristics of Vietnamese patients and the necessity for specialized treatment protocols in Vietnam Ho Chi Minh City.</w:t>
      </w:r>
    </w:p>
    <w:bookmarkEnd w:id="20"/>
    <w:bookmarkStart w:id="21" w:name="introduction"/>
    <w:p>
      <w:pPr>
        <w:pStyle w:val="Heading2"/>
      </w:pPr>
      <w:r>
        <w:t xml:space="preserve">Introduction</w:t>
      </w:r>
    </w:p>
    <w:p>
      <w:pPr>
        <w:pStyle w:val="FirstParagraph"/>
      </w:pPr>
      <w:r>
        <w:t xml:space="preserve">Vietnam has experienced one of the most significant economic transformations in Southeast Asia over the past two decades. Nowhere is this transformation more visible than in</w:t>
      </w:r>
      <w:r>
        <w:t xml:space="preserve"> </w:t>
      </w:r>
      <w:r>
        <w:rPr>
          <w:bCs/>
          <w:b/>
        </w:rPr>
        <w:t xml:space="preserve">Vietnam Ho Chi Minh City</w:t>
      </w:r>
      <w:r>
        <w:t xml:space="preserve">, a bustling metropolis that serves as the commercial heart of the nation. Within this context, oral health care, particularly orthodontics, has evolved from a luxury service to an essential component of personal and professional presentation for the growing middle class. The role of an</w:t>
      </w:r>
      <w:r>
        <w:t xml:space="preserve"> </w:t>
      </w:r>
      <w:r>
        <w:rPr>
          <w:bCs/>
          <w:b/>
        </w:rPr>
        <w:t xml:space="preserve">Orthodontist</w:t>
      </w:r>
      <w:r>
        <w:t xml:space="preserve"> </w:t>
      </w:r>
      <w:r>
        <w:t xml:space="preserve">in this region is no longer confined merely to correcting dental malocclusions; it encompasses a broader responsibility in guiding patients through aesthetic, functional, and psychological well-being.</w:t>
      </w:r>
    </w:p>
    <w:p>
      <w:pPr>
        <w:pStyle w:val="BodyText"/>
      </w:pPr>
      <w:r>
        <w:t xml:space="preserve">The prevalence of dentofacial deformities among Vietnamese populations presents unique clinical challenges. Studies indicate that Class II division 1 and Class III skeletal discrepancies are notably common due to genetic predispositions specific to East Asian phenotypes. Consequently,</w:t>
      </w:r>
      <w:r>
        <w:t xml:space="preserve"> </w:t>
      </w:r>
      <w:r>
        <w:rPr>
          <w:bCs/>
          <w:b/>
        </w:rPr>
        <w:t xml:space="preserve">Orthodontist</w:t>
      </w:r>
      <w:r>
        <w:t xml:space="preserve"> </w:t>
      </w:r>
      <w:r>
        <w:t xml:space="preserve">practitioners in</w:t>
      </w:r>
      <w:r>
        <w:t xml:space="preserve"> </w:t>
      </w:r>
      <w:r>
        <w:rPr>
          <w:bCs/>
          <w:b/>
        </w:rPr>
        <w:t xml:space="preserve">Vietnam Ho Chi Minh City</w:t>
      </w:r>
      <w:r>
        <w:t xml:space="preserve"> </w:t>
      </w:r>
      <w:r>
        <w:t xml:space="preserve">must possess specialized knowledge beyond standard Western protocols, adapting treatment plans to address the distinct craniofacial morphology of local patients.</w:t>
      </w:r>
    </w:p>
    <w:bookmarkEnd w:id="21"/>
    <w:bookmarkStart w:id="22" w:name="socioeconomic-drivers-and-market-demand"/>
    <w:p>
      <w:pPr>
        <w:pStyle w:val="Heading2"/>
      </w:pPr>
      <w:r>
        <w:t xml:space="preserve">Socioeconomic Drivers and Market Demand</w:t>
      </w:r>
    </w:p>
    <w:p>
      <w:pPr>
        <w:pStyle w:val="FirstParagraph"/>
      </w:pPr>
      <w:r>
        <w:t xml:space="preserve">The surge in demand for orthodontic treatment in</w:t>
      </w:r>
      <w:r>
        <w:t xml:space="preserve"> </w:t>
      </w:r>
      <w:r>
        <w:rPr>
          <w:bCs/>
          <w:b/>
        </w:rPr>
        <w:t xml:space="preserve">Vietnam Ho Chi Minh City</w:t>
      </w:r>
      <w:r>
        <w:t xml:space="preserve"> </w:t>
      </w:r>
      <w:r>
        <w:t xml:space="preserve">is directly correlated with rising disposable incomes and increased awareness of aesthetic dentistry. In a competitive job market, dental appearance is increasingly viewed as a proxy for social status and professional competence. This cultural shift has compelled many young adults, who previously deferred orthodontic treatment due to cost or stigma, to seek care in their twenties and thirties—a demographic trend known as "adult orthodontics."</w:t>
      </w:r>
    </w:p>
    <w:p>
      <w:pPr>
        <w:pStyle w:val="BodyText"/>
      </w:pPr>
      <w:r>
        <w:t xml:space="preserve">Furthermore, the proliferation of private dental clinics in districts such as District 1 and District 7 has created a highly competitive market. For an</w:t>
      </w:r>
      <w:r>
        <w:t xml:space="preserve"> </w:t>
      </w:r>
      <w:r>
        <w:rPr>
          <w:bCs/>
          <w:b/>
        </w:rPr>
        <w:t xml:space="preserve">Orthodontist</w:t>
      </w:r>
      <w:r>
        <w:t xml:space="preserve">, this environment necessitates not only clinical excellence but also effective patient communication and marketing strategies. The visibility of smiling faces on digital media platforms in</w:t>
      </w:r>
      <w:r>
        <w:t xml:space="preserve"> </w:t>
      </w:r>
      <w:r>
        <w:rPr>
          <w:bCs/>
          <w:b/>
        </w:rPr>
        <w:t xml:space="preserve">Vietnam Ho Chi Minh City</w:t>
      </w:r>
      <w:r>
        <w:t xml:space="preserve"> </w:t>
      </w:r>
      <w:r>
        <w:t xml:space="preserve">further fuels the public's desire for straight teeth, accelerating the adoption rate of orthodontic interventions.</w:t>
      </w:r>
    </w:p>
    <w:bookmarkEnd w:id="22"/>
    <w:bookmarkStart w:id="23" w:name="X444ab7af42d78cdd332819089dbed8ea12d0e9f"/>
    <w:p>
      <w:pPr>
        <w:pStyle w:val="Heading2"/>
      </w:pPr>
      <w:r>
        <w:t xml:space="preserve">Technological Integration and Digital Orthodontics</w:t>
      </w:r>
    </w:p>
    <w:p>
      <w:pPr>
        <w:pStyle w:val="FirstParagraph"/>
      </w:pPr>
      <w:r>
        <w:t xml:space="preserve">The adoption of digital technology by an</w:t>
      </w:r>
      <w:r>
        <w:t xml:space="preserve"> </w:t>
      </w:r>
      <w:r>
        <w:rPr>
          <w:bCs/>
          <w:b/>
        </w:rPr>
        <w:t xml:space="preserve">Orthodontist</w:t>
      </w:r>
      <w:r>
        <w:t xml:space="preserve"> </w:t>
      </w:r>
      <w:r>
        <w:t xml:space="preserve">in</w:t>
      </w:r>
      <w:r>
        <w:t xml:space="preserve"> </w:t>
      </w:r>
      <w:r>
        <w:rPr>
          <w:bCs/>
          <w:b/>
        </w:rPr>
        <w:t xml:space="preserve">Vietnam Ho Chi Minh City</w:t>
      </w:r>
      <w:r>
        <w:t xml:space="preserve"> </w:t>
      </w:r>
      <w:r>
        <w:t xml:space="preserve">has reached unprecedented levels. Traditional impressions are rapidly being replaced by intraoral scanners, which offer greater patient comfort and higher accuracy in capturing dental arches. This technological leap allows for precise digital setup and simulation of treatment outcomes, a feature highly valued by patients seeking transparency in their aesthetic journey.</w:t>
      </w:r>
    </w:p>
    <w:p>
      <w:pPr>
        <w:pStyle w:val="BodyText"/>
      </w:pPr>
      <w:r>
        <w:t xml:space="preserve">Invisible aligner therapy has seen exponential growth. While global brands dominate the market, local clinics are increasingly integrating these systems into comprehensive care plans managed by certified</w:t>
      </w:r>
      <w:r>
        <w:t xml:space="preserve"> </w:t>
      </w:r>
      <w:r>
        <w:rPr>
          <w:bCs/>
          <w:b/>
        </w:rPr>
        <w:t xml:space="preserve">Orthodontist</w:t>
      </w:r>
      <w:r>
        <w:t xml:space="preserve"> </w:t>
      </w:r>
      <w:r>
        <w:t xml:space="preserve">professionals. However, the complexity of cases involving skeletal discrepancies often requires a hybrid approach, combining clear aligners with fixed appliances or surgical intervention. The ability to navigate these complex treatment modalities defines the competence of an</w:t>
      </w:r>
      <w:r>
        <w:t xml:space="preserve"> </w:t>
      </w:r>
      <w:r>
        <w:rPr>
          <w:bCs/>
          <w:b/>
        </w:rPr>
        <w:t xml:space="preserve">Orthodontist</w:t>
      </w:r>
      <w:r>
        <w:t xml:space="preserve"> </w:t>
      </w:r>
      <w:r>
        <w:t xml:space="preserve">operating in the advanced clinical landscape of</w:t>
      </w:r>
      <w:r>
        <w:t xml:space="preserve"> </w:t>
      </w:r>
      <w:r>
        <w:rPr>
          <w:bCs/>
          <w:b/>
        </w:rPr>
        <w:t xml:space="preserve">Vietnam Ho Chi Minh City</w:t>
      </w:r>
      <w:r>
        <w:t xml:space="preserve">.</w:t>
      </w:r>
    </w:p>
    <w:bookmarkEnd w:id="23"/>
    <w:bookmarkStart w:id="24" w:name="Xe47813d6b74e177b97fb01d0a9a5eea952cfd46"/>
    <w:p>
      <w:pPr>
        <w:pStyle w:val="Heading2"/>
      </w:pPr>
      <w:r>
        <w:t xml:space="preserve">Clinical Challenges and Skeletal Discrepancies</w:t>
      </w:r>
    </w:p>
    <w:p>
      <w:pPr>
        <w:pStyle w:val="FirstParagraph"/>
      </w:pPr>
      <w:r>
        <w:t xml:space="preserve">A critical aspect of orthodontic practice in this region is the high incidence of skeletal Class III malocclusion, often referred to as mandibular prognathism. Unlike Western populations where Class II discrepancies (overjet) are more prevalent, the Vietnamese population exhibits a higher frequency of underbites. This genetic trait requires an</w:t>
      </w:r>
      <w:r>
        <w:t xml:space="preserve"> </w:t>
      </w:r>
      <w:r>
        <w:rPr>
          <w:bCs/>
          <w:b/>
        </w:rPr>
        <w:t xml:space="preserve">Orthodontist</w:t>
      </w:r>
      <w:r>
        <w:t xml:space="preserve"> </w:t>
      </w:r>
      <w:r>
        <w:t xml:space="preserve">to be proficient in growth modification techniques during adolescence and interdisciplinary coordination with oral surgeons for adult patients.</w:t>
      </w:r>
    </w:p>
    <w:p>
      <w:pPr>
        <w:pStyle w:val="BodyText"/>
      </w:pPr>
      <w:r>
        <w:t xml:space="preserve">In</w:t>
      </w:r>
      <w:r>
        <w:t xml:space="preserve"> </w:t>
      </w:r>
      <w:r>
        <w:rPr>
          <w:bCs/>
          <w:b/>
        </w:rPr>
        <w:t xml:space="preserve">Vietnam Ho Chi Minh City</w:t>
      </w:r>
      <w:r>
        <w:t xml:space="preserve">, early detection and intervention are paramount. However, access to specialized pediatric orthodontic care remains uneven across different districts. While central urban areas have well-equipped facilities, peripheral regions may lack sufficient specialist availability. This disparity highlights the need for expanded educational outreach and standardized training programs to ensure that every patient in</w:t>
      </w:r>
      <w:r>
        <w:t xml:space="preserve"> </w:t>
      </w:r>
      <w:r>
        <w:rPr>
          <w:bCs/>
          <w:b/>
        </w:rPr>
        <w:t xml:space="preserve">Vietnam Ho Chi Minh City</w:t>
      </w:r>
      <w:r>
        <w:t xml:space="preserve"> </w:t>
      </w:r>
      <w:r>
        <w:t xml:space="preserve">receives evidence-based care from a qualified</w:t>
      </w:r>
      <w:r>
        <w:t xml:space="preserve"> </w:t>
      </w:r>
      <w:r>
        <w:rPr>
          <w:bCs/>
          <w:b/>
        </w:rPr>
        <w:t xml:space="preserve">Orthodontist</w:t>
      </w:r>
      <w:r>
        <w:t xml:space="preserve">.</w:t>
      </w:r>
    </w:p>
    <w:bookmarkEnd w:id="24"/>
    <w:bookmarkStart w:id="25" w:name="Xb164cb02d3151b29ef3ddf6246ab8c6361c8d8d"/>
    <w:p>
      <w:pPr>
        <w:pStyle w:val="Heading2"/>
      </w:pPr>
      <w:r>
        <w:t xml:space="preserve">Educational Standards and Professional Development</w:t>
      </w:r>
    </w:p>
    <w:p>
      <w:pPr>
        <w:pStyle w:val="FirstParagraph"/>
      </w:pPr>
      <w:r>
        <w:t xml:space="preserve">The quality of orthodontic education in Vietnam has improved significantly, with local universities offering specialized residency programs. Nevertheless, continuous professional development remains crucial. An</w:t>
      </w:r>
      <w:r>
        <w:t xml:space="preserve"> </w:t>
      </w:r>
      <w:r>
        <w:rPr>
          <w:bCs/>
          <w:b/>
        </w:rPr>
        <w:t xml:space="preserve">Orthodontist</w:t>
      </w:r>
      <w:r>
        <w:t xml:space="preserve"> </w:t>
      </w:r>
      <w:r>
        <w:t xml:space="preserve">practicing in</w:t>
      </w:r>
      <w:r>
        <w:t xml:space="preserve"> </w:t>
      </w:r>
      <w:r>
        <w:rPr>
          <w:bCs/>
          <w:b/>
        </w:rPr>
        <w:t xml:space="preserve">Vietnam Ho Chi Minh City</w:t>
      </w:r>
      <w:r>
        <w:t xml:space="preserve"> </w:t>
      </w:r>
      <w:r>
        <w:t xml:space="preserve">must stay abreast of global trends through international conferences and digital learning platforms. The exchange of knowledge between local specialists and international experts helps refine treatment protocols specific to the Vietnamese phenotype.</w:t>
      </w:r>
    </w:p>
    <w:p>
      <w:pPr>
        <w:pStyle w:val="BodyText"/>
      </w:pPr>
      <w:r>
        <w:t xml:space="preserve">Mentorship plays a vital role in this ecosystem. Senior</w:t>
      </w:r>
      <w:r>
        <w:t xml:space="preserve"> </w:t>
      </w:r>
      <w:r>
        <w:rPr>
          <w:bCs/>
          <w:b/>
        </w:rPr>
        <w:t xml:space="preserve">Orthodontist</w:t>
      </w:r>
      <w:r>
        <w:t xml:space="preserve"> </w:t>
      </w:r>
      <w:r>
        <w:t xml:space="preserve">professionals in leading academic institutions in</w:t>
      </w:r>
      <w:r>
        <w:t xml:space="preserve"> </w:t>
      </w:r>
      <w:r>
        <w:rPr>
          <w:bCs/>
          <w:b/>
        </w:rPr>
        <w:t xml:space="preserve">Vietnam Ho Chi Minh City</w:t>
      </w:r>
      <w:r>
        <w:t xml:space="preserve"> </w:t>
      </w:r>
      <w:r>
        <w:t xml:space="preserve">are increasingly involved in guiding younger practitioners, fostering a culture of peer review and ethical practice. This collaborative environment ensures that the integrity of orthodontic care is maintained amidst the rapid commercialization of dental services.</w:t>
      </w:r>
    </w:p>
    <w:bookmarkEnd w:id="25"/>
    <w:bookmarkStart w:id="26" w:name="conclusion"/>
    <w:p>
      <w:pPr>
        <w:pStyle w:val="Heading2"/>
      </w:pPr>
      <w:r>
        <w:t xml:space="preserve">Conclusion</w:t>
      </w:r>
    </w:p>
    <w:p>
      <w:pPr>
        <w:pStyle w:val="FirstParagraph"/>
      </w:pPr>
      <w:r>
        <w:t xml:space="preserve">The landscape of orthodontics in</w:t>
      </w:r>
      <w:r>
        <w:t xml:space="preserve"> </w:t>
      </w:r>
      <w:r>
        <w:rPr>
          <w:bCs/>
          <w:b/>
        </w:rPr>
        <w:t xml:space="preserve">Vietnam Ho Chi Minh City</w:t>
      </w:r>
      <w:r>
        <w:t xml:space="preserve"> </w:t>
      </w:r>
      <w:r>
        <w:t xml:space="preserve">is characterized by dynamic growth, technological sophistication, and unique clinical challenges. As the city continues to modernize, the role of the</w:t>
      </w:r>
      <w:r>
        <w:t xml:space="preserve"> </w:t>
      </w:r>
      <w:r>
        <w:rPr>
          <w:bCs/>
          <w:b/>
        </w:rPr>
        <w:t xml:space="preserve">Orthodontist</w:t>
      </w:r>
      <w:r>
        <w:t xml:space="preserve"> </w:t>
      </w:r>
      <w:r>
        <w:t xml:space="preserve">expands beyond mechanical alignment to encompass holistic patient care. Addressing the specific skeletal needs of Vietnamese patients requires tailored approaches that respect local genetic traits while leveraging global technological advancements.</w:t>
      </w:r>
    </w:p>
    <w:p>
      <w:pPr>
        <w:pStyle w:val="BodyText"/>
      </w:pPr>
      <w:r>
        <w:t xml:space="preserve">Future research should focus on long-term stability studies of orthodontic treatments in this population and the evaluation of cost-benefit analyses for digital versus traditional methods. Ultimately, ensuring equitable access to high-quality orthodontic care remains a primary goal for healthcare policymakers and professional bodies in</w:t>
      </w:r>
      <w:r>
        <w:t xml:space="preserve"> </w:t>
      </w:r>
      <w:r>
        <w:rPr>
          <w:bCs/>
          <w:b/>
        </w:rPr>
        <w:t xml:space="preserve">Vietnam Ho Chi Minh City</w:t>
      </w:r>
      <w:r>
        <w:t xml:space="preserve">. By strengthening educational frameworks and promoting evidence-based practices, the region can set a benchmark for orthodontic excellence in Southeast Asia.</w:t>
      </w:r>
    </w:p>
    <w:bookmarkEnd w:id="26"/>
    <w:bookmarkStart w:id="27" w:name="references"/>
    <w:p>
      <w:pPr>
        <w:pStyle w:val="Heading2"/>
      </w:pPr>
      <w:r>
        <w:t xml:space="preserve">References</w:t>
      </w:r>
    </w:p>
    <w:p>
      <w:pPr>
        <w:numPr>
          <w:ilvl w:val="0"/>
          <w:numId w:val="1001"/>
        </w:numPr>
        <w:pStyle w:val="Compact"/>
      </w:pPr>
      <w:r>
        <w:t xml:space="preserve">Dinh, T. H., &amp; Nguyen, V. P. (2019). *Prevalence of Malocclusion among Vietnamese Adolescents*. Journal of Vietnam Dental Association.</w:t>
      </w:r>
    </w:p>
    <w:p>
      <w:pPr>
        <w:numPr>
          <w:ilvl w:val="0"/>
          <w:numId w:val="1001"/>
        </w:numPr>
        <w:pStyle w:val="Compact"/>
      </w:pPr>
      <w:r>
        <w:t xml:space="preserve">Le, M. Q., &amp; Smith, J. R. (2021). *Digital Orthodontics in Developing Markets: A Case Study from Ho Chi Minh City*. International Journal of Orthodontics.</w:t>
      </w:r>
    </w:p>
    <w:p>
      <w:pPr>
        <w:numPr>
          <w:ilvl w:val="0"/>
          <w:numId w:val="1001"/>
        </w:numPr>
        <w:pStyle w:val="Compact"/>
      </w:pPr>
      <w:r>
        <w:t xml:space="preserve">Tran, K. T., et al. (2020). *Skeletal Characteristics of Class III Malocclusion in Vietnamese Populations*. Asian Journal of Oral Medicine.</w:t>
      </w:r>
    </w:p>
    <w:p>
      <w:pPr>
        <w:numPr>
          <w:ilvl w:val="0"/>
          <w:numId w:val="1001"/>
        </w:numPr>
        <w:pStyle w:val="Compact"/>
      </w:pPr>
      <w:r>
        <w:t xml:space="preserve">World Health Organization. (2022). *Oral Health Status in the Western Pacific Region*.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Vietnam Ho Chi Minh City: Challenges, Innovations, and Future Directions</dc:title>
  <dc:creator/>
  <dc:language>en</dc:language>
  <cp:keywords/>
  <dcterms:created xsi:type="dcterms:W3CDTF">2026-07-29T18:25:01Z</dcterms:created>
  <dcterms:modified xsi:type="dcterms:W3CDTF">2026-07-29T18:25:01Z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