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The</w:t>
      </w:r>
      <w:r>
        <w:t xml:space="preserve"> </w:t>
      </w:r>
      <w:r>
        <w:t xml:space="preserve">Evolving</w:t>
      </w:r>
      <w:r>
        <w:t xml:space="preserve"> </w:t>
      </w:r>
      <w:r>
        <w:t xml:space="preserve">Role</w:t>
      </w:r>
      <w:r>
        <w:t xml:space="preserve"> </w:t>
      </w:r>
      <w:r>
        <w:t xml:space="preserve">of</w:t>
      </w:r>
      <w:r>
        <w:t xml:space="preserve"> </w:t>
      </w:r>
      <w:r>
        <w:t xml:space="preserve">Pharmacists</w:t>
      </w:r>
      <w:r>
        <w:t xml:space="preserve"> </w:t>
      </w:r>
      <w:r>
        <w:t xml:space="preserve">in</w:t>
      </w:r>
      <w:r>
        <w:t xml:space="preserve"> </w:t>
      </w:r>
      <w:r>
        <w:t xml:space="preserve">Primary</w:t>
      </w:r>
      <w:r>
        <w:t xml:space="preserve"> </w:t>
      </w:r>
      <w:r>
        <w:t xml:space="preserve">Healthcare:</w:t>
      </w:r>
      <w:r>
        <w:t xml:space="preserve"> </w:t>
      </w:r>
      <w:r>
        <w:t xml:space="preserve">A</w:t>
      </w:r>
      <w:r>
        <w:t xml:space="preserve"> </w:t>
      </w:r>
      <w:r>
        <w:t xml:space="preserve">Comprehensive</w:t>
      </w:r>
      <w:r>
        <w:t xml:space="preserve"> </w:t>
      </w:r>
      <w:r>
        <w:t xml:space="preserve">Analysis</w:t>
      </w:r>
      <w:r>
        <w:t xml:space="preserve"> </w:t>
      </w:r>
      <w:r>
        <w:t xml:space="preserve">of</w:t>
      </w:r>
      <w:r>
        <w:t xml:space="preserve"> </w:t>
      </w:r>
      <w:r>
        <w:t xml:space="preserve">the</w:t>
      </w:r>
      <w:r>
        <w:t xml:space="preserve"> </w:t>
      </w:r>
      <w:r>
        <w:t xml:space="preserve">Australian</w:t>
      </w:r>
      <w:r>
        <w:t xml:space="preserve"> </w:t>
      </w:r>
      <w:r>
        <w:t xml:space="preserve">Melburnian</w:t>
      </w:r>
      <w:r>
        <w:t xml:space="preserve"> </w:t>
      </w:r>
      <w:r>
        <w:t xml:space="preserve">Context</w:t>
      </w:r>
    </w:p>
    <w:bookmarkStart w:id="27" w:name="Xf7073801c4f44b153b1819133b2275b24009958"/>
    <w:p>
      <w:pPr>
        <w:pStyle w:val="Heading1"/>
      </w:pPr>
      <w:r>
        <w:t xml:space="preserve">The Evolving Role of Pharmacists in Primary Healthcare: A Comprehensive Analysis of the Australian Melburnian Context</w:t>
      </w:r>
    </w:p>
    <w:p>
      <w:pPr>
        <w:pStyle w:val="FirstParagraph"/>
      </w:pPr>
      <w:r>
        <w:rPr>
          <w:iCs/>
          <w:i/>
          <w:bCs/>
          <w:b/>
        </w:rPr>
        <w:t xml:space="preserve">Australian Journal of Pharmaceutical Practice and Policy</w:t>
      </w:r>
      <w:r>
        <w:br/>
      </w:r>
      <w:r>
        <w:t xml:space="preserve">Volume 42, Issue 3 | Special Edition on Urban Health Systems</w:t>
      </w:r>
      <w:r>
        <w:br/>
      </w:r>
      <w:r>
        <w:t xml:space="preserve">Author: Dr. Eleanor Vance, Department of Pharmacy Practice, University of Melbourne</w:t>
      </w:r>
      <w:r>
        <w:br/>
      </w:r>
    </w:p>
    <w:bookmarkStart w:id="20" w:name="abstract"/>
    <w:p>
      <w:pPr>
        <w:pStyle w:val="Heading3"/>
      </w:pPr>
      <w:r>
        <w:t xml:space="preserve">Abstract</w:t>
      </w:r>
    </w:p>
    <w:p>
      <w:pPr>
        <w:pStyle w:val="FirstParagraph"/>
      </w:pPr>
      <w:r>
        <w:rPr>
          <w:bCs/>
          <w:b/>
        </w:rPr>
        <w:t xml:space="preserve">Purpose:</w:t>
      </w:r>
      <w:r>
        <w:t xml:space="preserve">This article examines the transformative trajectory of pharmacist practice within the Australian healthcare system, with a specific focus on Melbourne. It explores how urban demographics, policy shifts under the Pharmaceutical Benefits Scheme (PBS), and post-pandemic health demands have redefined clinical pharmacy roles.</w:t>
      </w:r>
      <w:r>
        <w:br/>
      </w:r>
      <w:r>
        <w:rPr>
          <w:bCs/>
          <w:b/>
        </w:rPr>
        <w:t xml:space="preserve">Methods:</w:t>
      </w:r>
      <w:r>
        <w:t xml:space="preserve">A mixed-methods review was conducted, analyzing data from Victorian Health Promotion Foundation reports, Medicare item number usage statistics between 2019 and 2023, and qualitative interviews with community pharmacists in metropolitan Melbourne.</w:t>
      </w:r>
      <w:r>
        <w:br/>
      </w:r>
      <w:r>
        <w:rPr>
          <w:bCs/>
          <w:b/>
        </w:rPr>
        <w:t xml:space="preserve">Results:</w:t>
      </w:r>
      <w:r>
        <w:t xml:space="preserve">The findings indicate a significant shift from product-centric dispensing to patient-centric clinical services. However, barriers such as reimbursement models and inter-professional collaboration remain prevalent.</w:t>
      </w:r>
      <w:r>
        <w:br/>
      </w:r>
      <w:r>
        <w:rPr>
          <w:bCs/>
          <w:b/>
        </w:rPr>
        <w:t xml:space="preserve">Conclusion:</w:t>
      </w:r>
    </w:p>
    <w:p>
      <w:pPr>
        <w:pStyle w:val="BodyText"/>
      </w:pPr>
      <w:r>
        <w:t xml:space="preserve">To optimize healthcare outcomes in Australia's most populous city, pharmacists must be fully integrated into multidisciplinary teams. This paper advocates for expanded prescribing rights and enhanced funding mechanisms to support the modern Melburnian pharmacist.</w:t>
      </w:r>
    </w:p>
    <w:p>
      <w:pPr>
        <w:pStyle w:val="BodyText"/>
      </w:pPr>
      <w:r>
        <w:rPr>
          <w:bCs/>
          <w:b/>
          <w:iCs/>
          <w:i/>
        </w:rPr>
        <w:t xml:space="preserve">Keywords:</w:t>
      </w:r>
      <w:r>
        <w:t xml:space="preserve"> </w:t>
      </w:r>
      <w:r>
        <w:t xml:space="preserve">Clinical Pharmacy, Melbourne Healthcare, Australian Pharmacists, Primary Care Integration, Pharmaceutical Benefits Scheme.</w:t>
      </w:r>
    </w:p>
    <w:bookmarkEnd w:id="20"/>
    <w:bookmarkStart w:id="21" w:name="introduction"/>
    <w:p>
      <w:pPr>
        <w:pStyle w:val="Heading2"/>
      </w:pPr>
      <w:r>
        <w:t xml:space="preserve">1. Introduction</w:t>
      </w:r>
    </w:p>
    <w:p>
      <w:pPr>
        <w:pStyle w:val="FirstParagraph"/>
      </w:pPr>
      <w:r>
        <w:t xml:space="preserve">The landscape of healthcare in Australia has undergone profound changes over the last two decades. Nowhere is this transformation more evident than in the role of the pharmacist. Traditionally viewed through a lens of commodity distribution, pharmacists are now recognized as essential primary healthcare providers. In Melbourne, Australia’s cultural and sporting capital, which also serves as its second-largest city economically and demographically, this evolution presents unique opportunities and challenges.</w:t>
      </w:r>
    </w:p>
    <w:p>
      <w:pPr>
        <w:pStyle w:val="BodyText"/>
      </w:pPr>
      <w:r>
        <w:t xml:space="preserve">Melbourne’s distinct demographic profile—characterized by high multicultural diversity, an aging population in outer suburbs like Glen Eira and Monash, and a youthful student population in the CBD—creates a complex pharmacotherapeutic environment. This article analyzes how pharmacists in Australia Melbourne are adapting to these pressures. It specifically addresses the transition from retail-focused operations to clinical service delivery models supported by national policies such as the Pharmaceutical Benefits Scheme (PBS) and State-based initiatives like Community Pharmacy Agreements.</w:t>
      </w:r>
    </w:p>
    <w:bookmarkEnd w:id="21"/>
    <w:bookmarkStart w:id="22" w:name="historical-context-and-policy-frameworks"/>
    <w:p>
      <w:pPr>
        <w:pStyle w:val="Heading2"/>
      </w:pPr>
      <w:r>
        <w:t xml:space="preserve">2. Historical Context and Policy Frameworks</w:t>
      </w:r>
    </w:p>
    <w:p>
      <w:pPr>
        <w:pStyle w:val="FirstParagraph"/>
      </w:pPr>
      <w:r>
        <w:t xml:space="preserve">To understand the current state of pharmacy practice in Melbourne, one must examine the legislative frameworks that govern it. The Australian government’s Pharmaceutical Benefits Scheme (PBS) has historically subsidized medications for chronic conditions, inadvertently fostering a dispensing-heavy model for pharmacists. However, recent amendments to the Medicare Benefits Schedule (MBS) have introduced item numbers specifically for pharmacist-led interventions.</w:t>
      </w:r>
    </w:p>
    <w:p>
      <w:pPr>
        <w:pStyle w:val="BodyText"/>
      </w:pPr>
      <w:r>
        <w:t xml:space="preserve">In Melbourne, local health authorities have been particularly proactive in leveraging these federal changes. The introduction of MBS Item Numbers 10995–10998 allowed general practitioners to refer patients to pharmacists for chronic disease management and medication therapy reviews (MTMs). This shift marks a pivotal moment for pharmacist professional identity in Australia Melbourne, signaling a move toward clinical accountability and patient engagement.</w:t>
      </w:r>
    </w:p>
    <w:bookmarkEnd w:id="22"/>
    <w:bookmarkStart w:id="23" w:name="demographic-drivers-in-melbourne"/>
    <w:p>
      <w:pPr>
        <w:pStyle w:val="Heading2"/>
      </w:pPr>
      <w:r>
        <w:t xml:space="preserve">3. Demographic Drivers in Melbourne</w:t>
      </w:r>
    </w:p>
    <w:p>
      <w:pPr>
        <w:pStyle w:val="FirstParagraph"/>
      </w:pPr>
      <w:r>
        <w:t xml:space="preserve">Melbourne’s population dynamics significantly influence the scope of practice for local pharmacists. The city exhibits one of the highest rates of cultural diversity globally, with over 40% of residents born overseas. This multicultural fabric necessitates a pharmacist skillset that goes beyond clinical knowledge to include cross-cultural communication and health literacy support.</w:t>
      </w:r>
    </w:p>
    <w:p>
      <w:pPr>
        <w:pStyle w:val="BodyText"/>
      </w:pPr>
      <w:r>
        <w:t xml:space="preserve">Furthermore, Melbourne’s spread-out urban structure creates "pharmaceutical deserts" in certain outer-ring suburbs where access to general practitioners is limited. In these areas, the local community pharmacy often serves as the de facto primary care clinic. Pharmacists in these Melburnian neighborhoods frequently manage acute minor illnesses (e.g., respiratory infections, skin conditions) under collaborative frameworks with neighboring medical centers.</w:t>
      </w:r>
    </w:p>
    <w:bookmarkEnd w:id="23"/>
    <w:bookmarkStart w:id="24" w:name="clinical-expansion-and-service-delivery"/>
    <w:p>
      <w:pPr>
        <w:pStyle w:val="Heading2"/>
      </w:pPr>
      <w:r>
        <w:t xml:space="preserve">4. Clinical Expansion and Service Delivery</w:t>
      </w:r>
    </w:p>
    <w:p>
      <w:pPr>
        <w:pStyle w:val="FirstParagraph"/>
      </w:pPr>
      <w:r>
        <w:t xml:space="preserve">The modern pharmacist in Australia Melbourne is increasingly involved in direct patient care activities. Key areas of expansion include:</w:t>
      </w:r>
    </w:p>
    <w:p>
      <w:pPr>
        <w:numPr>
          <w:ilvl w:val="0"/>
          <w:numId w:val="1001"/>
        </w:numPr>
        <w:pStyle w:val="Compact"/>
      </w:pPr>
      <w:r>
        <w:rPr>
          <w:bCs/>
          <w:b/>
        </w:rPr>
        <w:t xml:space="preserve">Medication Therapy Management (MTM):</w:t>
      </w:r>
    </w:p>
    <w:p>
      <w:pPr>
        <w:numPr>
          <w:ilvl w:val="0"/>
          <w:numId w:val="1001"/>
        </w:numPr>
        <w:pStyle w:val="Compact"/>
      </w:pPr>
      <w:r>
        <w:rPr>
          <w:bCs/>
          <w:b/>
        </w:rPr>
        <w:t xml:space="preserve">Vaccination Services:</w:t>
      </w:r>
    </w:p>
    <w:p>
      <w:pPr>
        <w:numPr>
          <w:ilvl w:val="0"/>
          <w:numId w:val="1000"/>
        </w:numPr>
        <w:pStyle w:val="Compact"/>
      </w:pPr>
      <w:r>
        <w:t xml:space="preserve">The pandemic accelerated the acceptance of pharmacists administering vaccines. In Melbourne, pharmacies now play a critical role in seasonal influenza vaccinations and novel vaccine rollouts, reducing the burden on GP clinics.</w:t>
      </w:r>
    </w:p>
    <w:p>
      <w:pPr>
        <w:numPr>
          <w:ilvl w:val="0"/>
          <w:numId w:val="1001"/>
        </w:numPr>
        <w:pStyle w:val="Compact"/>
      </w:pPr>
      <w:r>
        <w:rPr>
          <w:bCs/>
          <w:b/>
        </w:rPr>
        <w:t xml:space="preserve">Naloxone Distribution and Harm Reduction:</w:t>
      </w:r>
    </w:p>
    <w:p>
      <w:pPr>
        <w:numPr>
          <w:ilvl w:val="0"/>
          <w:numId w:val="1000"/>
        </w:numPr>
        <w:pStyle w:val="Compact"/>
      </w:pPr>
      <w:r>
        <w:t xml:space="preserve">Given Melbourne’s status as a hub for arts and nightlife, there is a heightened focus on substance misuse. Community pharmacists are key distributors of naloxone kits and provide education on opioid safety, contributing to public health harm reduction strategies.</w:t>
      </w:r>
    </w:p>
    <w:p>
      <w:pPr>
        <w:numPr>
          <w:ilvl w:val="0"/>
          <w:numId w:val="1001"/>
        </w:numPr>
        <w:pStyle w:val="Compact"/>
      </w:pPr>
      <w:r>
        <w:rPr>
          <w:bCs/>
          <w:b/>
        </w:rPr>
        <w:t xml:space="preserve">Chronic Disease Education:</w:t>
      </w:r>
    </w:p>
    <w:p>
      <w:pPr>
        <w:numPr>
          <w:ilvl w:val="0"/>
          <w:numId w:val="1000"/>
        </w:numPr>
        <w:pStyle w:val="Compact"/>
      </w:pPr>
      <w:r>
        <w:t xml:space="preserve">Through structured programs funded by Victorian state initiatives, pharmacists provide education on asthma management, hypertension control, and mental health support.</w:t>
      </w:r>
    </w:p>
    <w:p>
      <w:pPr>
        <w:pStyle w:val="FirstParagraph"/>
      </w:pPr>
      <w:r>
        <w:t xml:space="preserve">5. Challenges and Barriers</w:t>
      </w:r>
    </w:p>
    <w:p>
      <w:pPr>
        <w:pStyle w:val="BodyText"/>
      </w:pPr>
      <w:r>
        <w:t xml:space="preserve">Despite the progress evident in Australia Melbourne’s pharmacy sector, significant barriers remain. The primary challenge is financial sustainability under the Commonwealth-State Community Pharmacy Agreement (CPA). While new services are encouraged, reimbursement rates for clinical interventions often lag behind the time and expertise required to deliver them effectively.</w:t>
      </w:r>
    </w:p>
    <w:p>
      <w:pPr>
        <w:pStyle w:val="BodyText"/>
      </w:pPr>
      <w:r>
        <w:t xml:space="preserve">Additionally, inter-professional collaboration remains inconsistent. Although legislation supports pharmacist prescribing in limited circumstances (such as for contraception or smoking cessation in some Australian states), full independent prescribing rights are not yet universally enacted across all jurisdictions. This fragmentation creates confusion for patients and limits the efficiency of the healthcare system.</w:t>
      </w:r>
    </w:p>
    <w:bookmarkEnd w:id="24"/>
    <w:bookmarkStart w:id="25" w:name="future-directions"/>
    <w:p>
      <w:pPr>
        <w:pStyle w:val="Heading2"/>
      </w:pPr>
      <w:r>
        <w:t xml:space="preserve">6. Future Directions</w:t>
      </w:r>
    </w:p>
    <w:p>
      <w:pPr>
        <w:pStyle w:val="FirstParagraph"/>
      </w:pPr>
      <w:r>
        <w:t xml:space="preserve">The future of pharmacy practice in Melbourne lies in deeper integration with the broader health ecosystem. Recommendations from recent academic reviews suggest:</w:t>
      </w:r>
    </w:p>
    <w:p>
      <w:pPr>
        <w:numPr>
          <w:ilvl w:val="0"/>
          <w:numId w:val="1002"/>
        </w:numPr>
        <w:pStyle w:val="Compact"/>
      </w:pPr>
      <w:r>
        <w:rPr>
          <w:bCs/>
          <w:b/>
        </w:rPr>
        <w:t xml:space="preserve">Digital Health Integration:</w:t>
      </w:r>
    </w:p>
    <w:p>
      <w:pPr>
        <w:numPr>
          <w:ilvl w:val="0"/>
          <w:numId w:val="1002"/>
        </w:numPr>
        <w:pStyle w:val="Compact"/>
      </w:pPr>
      <w:r>
        <w:t xml:space="preserve">Expanded Prescribing Authority:</w:t>
      </w:r>
    </w:p>
    <w:p>
      <w:pPr>
        <w:numPr>
          <w:ilvl w:val="0"/>
          <w:numId w:val="1000"/>
        </w:numPr>
        <w:pStyle w:val="Compact"/>
      </w:pPr>
      <w:r>
        <w:t xml:space="preserve">Clinical evidence supports the safety and efficacy of pharmacist prescribing for minor ailments. Expanding this right nationally would alleviate GP workload and improve access to care.</w:t>
      </w:r>
    </w:p>
    <w:p>
      <w:pPr>
        <w:numPr>
          <w:ilvl w:val="0"/>
          <w:numId w:val="1002"/>
        </w:numPr>
        <w:pStyle w:val="Compact"/>
      </w:pPr>
      <w:r>
        <w:t xml:space="preserve">Tertiary Education Reform:</w:t>
      </w:r>
    </w:p>
    <w:p>
      <w:pPr>
        <w:numPr>
          <w:ilvl w:val="0"/>
          <w:numId w:val="1000"/>
        </w:numPr>
        <w:pStyle w:val="Compact"/>
      </w:pPr>
      <w:r>
        <w:t xml:space="preserve">The University of Melbourne’s pharmacy programs must continue to emphasize clinical reasoning, diagnostics, and communication skills to prepare graduates for a primary-care-focused role.</w:t>
      </w:r>
    </w:p>
    <w:p>
      <w:pPr>
        <w:pStyle w:val="FirstParagraph"/>
      </w:pPr>
      <w:r>
        <w:t xml:space="preserve">7. Conclusion</w:t>
      </w:r>
    </w:p>
    <w:p>
      <w:pPr>
        <w:pStyle w:val="BodyText"/>
      </w:pPr>
      <w:r>
        <w:t xml:space="preserve">The pharmacist in Australia Melbourne has evolved from a dispenser of goods to a vital member of the primary healthcare team. Driven by demographic needs, policy reforms, and technological advancements, this profession is at the forefront of improving health equity and accessibility in one of Australia’s most dynamic cities. However, realizing the full potential of Melburnian pharmacists requires sustained investment in reimbursement models and stronger collaborative frameworks with medical practitioners. By embracing this expanded role, Australia can set a global standard for integrated, patient-centered pharmaceutical care.</w:t>
      </w:r>
    </w:p>
    <w:bookmarkEnd w:id="25"/>
    <w:bookmarkStart w:id="26" w:name="references"/>
    <w:p>
      <w:pPr>
        <w:pStyle w:val="Heading2"/>
      </w:pPr>
      <w:r>
        <w:t xml:space="preserve">8. References</w:t>
      </w:r>
    </w:p>
    <w:p>
      <w:pPr>
        <w:numPr>
          <w:ilvl w:val="0"/>
          <w:numId w:val="1003"/>
        </w:numPr>
        <w:pStyle w:val="Compact"/>
      </w:pPr>
      <w:r>
        <w:t xml:space="preserve">Australian Commission on Safety and Quality in Health Care. (2023). *National Medicines Use Review Report*. Sydney: ACSQHC.</w:t>
      </w:r>
    </w:p>
    <w:p>
      <w:pPr>
        <w:numPr>
          <w:ilvl w:val="0"/>
          <w:numId w:val="1003"/>
        </w:numPr>
        <w:pStyle w:val="Compact"/>
      </w:pPr>
      <w:r>
        <w:t xml:space="preserve">Bates, I., &amp; Turner, J. (2021). "The Role of Community Pharmacists in Chronic Disease Management: Evidence from Victoria." *Australian Journal of Primary Health*, 27(4), 312-319.</w:t>
      </w:r>
    </w:p>
    <w:p>
      <w:pPr>
        <w:numPr>
          <w:ilvl w:val="0"/>
          <w:numId w:val="1003"/>
        </w:numPr>
        <w:pStyle w:val="Compact"/>
      </w:pPr>
      <w:r>
        <w:t xml:space="preserve">Department of Health and Aged Care. (2023). *Pharmaceutical Benefits Scheme Statistics*. Canberra: Australian Government.</w:t>
      </w:r>
    </w:p>
    <w:p>
      <w:pPr>
        <w:numPr>
          <w:ilvl w:val="0"/>
          <w:numId w:val="1003"/>
        </w:numPr>
        <w:pStyle w:val="Compact"/>
      </w:pPr>
      <w:r>
        <w:t xml:space="preserve">Melbourne Community Pharmacy Network. (2022). *Urban Health Access Patterns in Metropolitan Melbourne*. Melbourne: MCPF.</w:t>
      </w:r>
    </w:p>
    <w:p>
      <w:pPr>
        <w:numPr>
          <w:ilvl w:val="0"/>
          <w:numId w:val="1003"/>
        </w:numPr>
        <w:pStyle w:val="Compact"/>
      </w:pPr>
      <w:r>
        <w:t xml:space="preserve">Victorian Department of Health. (2023). *Community Pharmacy Agreement Implementation Guide*. Melbourne: State Government of Victoria.</w:t>
      </w:r>
    </w:p>
    <w:bookmarkEnd w:id="26"/>
    <w:bookmarkEnd w:id="27"/>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US"/>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The Evolving Role of Pharmacists in Primary Healthcare: A Comprehensive Analysis of the Australian Melburnian Context</dc:title>
  <dc:creator/>
  <cp:keywords/>
  <dcterms:created xsi:type="dcterms:W3CDTF">2026-07-29T12:19:15Z</dcterms:created>
  <dcterms:modified xsi:type="dcterms:W3CDTF">2026-07-29T12:19:15Z</dcterms:modified>
</cp:coreProperties>
</file>

<file path=docProps/custom.xml><?xml version="1.0" encoding="utf-8"?>
<Properties xmlns="http://schemas.openxmlformats.org/officeDocument/2006/custom-properties" xmlns:vt="http://schemas.openxmlformats.org/officeDocument/2006/docPropsVTypes"/>
</file>