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Clinical</w:t>
      </w:r>
      <w:r>
        <w:t xml:space="preserve"> </w:t>
      </w:r>
      <w:r>
        <w:t xml:space="preserve">Integration</w:t>
      </w:r>
      <w:r>
        <w:t xml:space="preserve"> </w:t>
      </w:r>
      <w:r>
        <w:t xml:space="preserve">and</w:t>
      </w:r>
      <w:r>
        <w:t xml:space="preserve"> </w:t>
      </w:r>
      <w:r>
        <w:t xml:space="preserve">Regulatory</w:t>
      </w:r>
      <w:r>
        <w:t xml:space="preserve"> </w:t>
      </w:r>
      <w:r>
        <w:t xml:space="preserve">Frameworks</w:t>
      </w:r>
    </w:p>
    <w:bookmarkStart w:id="30" w:name="Xe158c37313b2c18f333de0da2dfdc35e0e05726"/>
    <w:p>
      <w:pPr>
        <w:pStyle w:val="Heading1"/>
      </w:pPr>
      <w:r>
        <w:t xml:space="preserve">The Evolving Role of the Pharmacist in Germany Berlin: A Critical Analysis of Clinical Integration and Regulatory Frameworks</w:t>
      </w:r>
    </w:p>
    <w:p>
      <w:pPr>
        <w:pStyle w:val="FirstParagraph"/>
      </w:pPr>
      <w:r>
        <w:t xml:space="preserve">Author: Dr. Alex Müller, Department of Pharmacy Practice</w:t>
      </w:r>
      <w:r>
        <w:br/>
      </w:r>
      <w:r>
        <w:t xml:space="preserve">School of Health Sciences, Technical University of Munich</w:t>
      </w:r>
    </w:p>
    <w:p>
      <w:pPr>
        <w:pStyle w:val="BodyText"/>
      </w:pPr>
      <w:r>
        <w:t xml:space="preserve">Received 12 May 2024 | Revised 18 June 2024 | Accepted 1 July 2024</w:t>
      </w:r>
    </w:p>
    <w:bookmarkStart w:id="20" w:name="abstract"/>
    <w:p>
      <w:pPr>
        <w:pStyle w:val="Heading3"/>
      </w:pPr>
      <w:r>
        <w:t xml:space="preserve">Abstract</w:t>
      </w:r>
    </w:p>
    <w:p>
      <w:pPr>
        <w:pStyle w:val="FirstParagraph"/>
      </w:pPr>
      <w:r>
        <w:t xml:space="preserve">The traditional perception of the pharmacist as merely a dispenser of medication is undergoing a profound transformation across Europe, with Germany serving as a pivotal case study due to its unique regulatory landscape. This article examines the specific role of the pharmacist in Germany Berlin, analyzing how urban density, demographic shifts toward an aging population, and recent legislative adjustments are reshaping professional practice. While Germany has historically maintained strict separation between medical prescription and pharmaceutical dispensing compared to other Anglo-Saxon countries, Berlin’s innovative pilot programs demonstrate a shift toward clinical pharmacy services. This study utilizes qualitative analysis of regulatory documents and observational data from selected Berlin pharmacies to evaluate the efficacy of expanded pharmacist roles in chronic disease management, vaccination administration, and patient counseling. The findings suggest that while structural barriers remain high due to the Heilmittelwerbegesetz (Law against Unfair Competition in Healthcare) and price-fixing regulations for medications, there is a growing consensus on the necessity of integrating pharmacists more deeply into primary healthcare teams. The paper concludes with recommendations for policy reform to fully leverage the potential of Berlin’s pharmacist workforce within the broader German healthcare system.</w:t>
      </w:r>
    </w:p>
    <w:bookmarkEnd w:id="20"/>
    <w:bookmarkStart w:id="21" w:name="introduction"/>
    <w:p>
      <w:pPr>
        <w:pStyle w:val="Heading3"/>
      </w:pPr>
      <w:r>
        <w:t xml:space="preserve">1. Introduction</w:t>
      </w:r>
    </w:p>
    <w:p>
      <w:pPr>
        <w:pStyle w:val="FirstParagraph"/>
      </w:pPr>
      <w:r>
        <w:t xml:space="preserve">The role of the pharmacist has long been defined by the logistical and chemical aspects of medication management. However, in recent decades, particularly within advanced healthcare systems, this definition has expanded to encompass direct patient care responsibilities. In Germany Berlin, a city characterized by its high population density and diverse socioeconomic fabric, these changes are particularly pertinent. As one of the twelve federal states of Germany with the highest number of pharmacies per capita alongside Saarland, Berlin presents a unique ecosystem for observing professional evolution.</w:t>
      </w:r>
    </w:p>
    <w:p>
      <w:pPr>
        <w:pStyle w:val="BodyText"/>
      </w:pPr>
      <w:r>
        <w:t xml:space="preserve">The primary objective of this article is to critically assess the current status and future trajectory of pharmacists in Germany Berlin. Unlike countries such as the United States or the United Kingdom, where community pharmacists often function as accessible first-line healthcare providers with significant authority to prescribe and manage therapy, German law has traditionally restricted these activities. The "Apothekenpflicht" (pharmacy monopoly) ensures that almost all prescription medications can only be dispensed through licensed pharmacies. While this protects public safety, it has historically limited the scope of practice for individual pharmacists outside of product preparation.</w:t>
      </w:r>
    </w:p>
    <w:p>
      <w:pPr>
        <w:pStyle w:val="BodyText"/>
      </w:pPr>
      <w:r>
        <w:t xml:space="preserve">This paper argues that despite these rigid structures, pharmacists in Germany Berlin are increasingly stepping into clinical roles driven by necessity and opportunity. With an aging population requiring complex polypharmacy management and a general practitioner (GP) shortage in urban areas, the pharmacist is emerging as a critical component of the healthcare continuum. Understanding this transition is vital for policymakers, healthcare administrators, and pharmacy educators.</w:t>
      </w:r>
    </w:p>
    <w:bookmarkEnd w:id="21"/>
    <w:bookmarkStart w:id="22" w:name="Xb58ca33459c8c47b3237633ca396fd45657dc5c"/>
    <w:p>
      <w:pPr>
        <w:pStyle w:val="Heading3"/>
      </w:pPr>
      <w:r>
        <w:t xml:space="preserve">2. Regulatory Landscape and Historical Context</w:t>
      </w:r>
    </w:p>
    <w:p>
      <w:pPr>
        <w:pStyle w:val="FirstParagraph"/>
      </w:pPr>
      <w:r>
        <w:t xml:space="preserve">To understand the current position of the pharmacist in Germany Berlin, one must first appreciate the historical regulatory framework. The German Drug Act (Arzneimittelgesetz - AMG) and the Pharmacy Ordinance (Apothekenbetriebsordnung - ApBetrO) strictly define where and how pharmacy services can be provided. For much of the 20th century, remuneration for pharmacists was tied exclusively to medication margins rather than service fees.</w:t>
      </w:r>
    </w:p>
    <w:p>
      <w:pPr>
        <w:pStyle w:val="BodyText"/>
      </w:pPr>
      <w:r>
        <w:t xml:space="preserve">In Germany Berlin specifically, the urban environment creates distinct challenges. The high concentration of pharmacies means that competition is fierce, yet the statutory retail markup on prescription drugs has been capped by law since 1960. This economic model disincentivized value-added services because pharmacists could not charge directly for their time or expertise in counseling. However, this dynamic began to shift with the introduction of new provisions allowing pharmacies to offer testing and preventive services, marking a significant turning point in the professional identity of the pharmacist.</w:t>
      </w:r>
    </w:p>
    <w:bookmarkEnd w:id="22"/>
    <w:bookmarkStart w:id="25" w:name="X3f0f699562605538173113b7a820fb445676ee8"/>
    <w:p>
      <w:pPr>
        <w:pStyle w:val="Heading3"/>
      </w:pPr>
      <w:r>
        <w:t xml:space="preserve">3. Clinical Integration in Berlin: New Service Models</w:t>
      </w:r>
    </w:p>
    <w:p>
      <w:pPr>
        <w:pStyle w:val="FirstParagraph"/>
      </w:pPr>
      <w:r>
        <w:t xml:space="preserve">In recent years, several innovative models have emerged in Germany Berlin that challenge traditional boundaries. One notable development is the expansion of vaccination services. Following the success of pharmacists administering flu vaccines and later SARS-CoV-2 vaccinations, there is a growing acceptance of pharmacists as immunization providers.</w:t>
      </w:r>
    </w:p>
    <w:bookmarkStart w:id="23" w:name="chronic-disease-management"/>
    <w:p>
      <w:pPr>
        <w:pStyle w:val="Heading4"/>
      </w:pPr>
      <w:r>
        <w:t xml:space="preserve">3.1 Chronic Disease Management</w:t>
      </w:r>
    </w:p>
    <w:p>
      <w:pPr>
        <w:pStyle w:val="FirstParagraph"/>
      </w:pPr>
      <w:r>
        <w:t xml:space="preserve">Berlin has seen pilot programs where pharmacists conduct "Medication Therapy Management" (MTM) sessions for patients with chronic conditions such as hypertension, type 2 diabetes, and asthma. These services involve comprehensive medication reviews to identify drug-drug interactions, adherence issues, and therapeutic duplications. Although these services are not yet universally reimbursed by statutory health insurance funds (Gesetzliche Krankenversicherung - GKV), private insurers are increasingly testing bundled payment models in Berlin that include pharmacist-led interventions.</w:t>
      </w:r>
    </w:p>
    <w:bookmarkEnd w:id="23"/>
    <w:bookmarkStart w:id="24" w:name="point-of-care-testing"/>
    <w:p>
      <w:pPr>
        <w:pStyle w:val="Heading4"/>
      </w:pPr>
      <w:r>
        <w:t xml:space="preserve">3.2 Point-of-Care Testing</w:t>
      </w:r>
    </w:p>
    <w:p>
      <w:pPr>
        <w:pStyle w:val="FirstParagraph"/>
      </w:pPr>
      <w:r>
        <w:t xml:space="preserve">The rise of point-of-care testing is another frontier. In Germany Berlin, qualified pharmacists can now perform rapid tests for cholesterol, blood glucose, and even certain infectious diseases within the pharmacy setting. This capability positions the pharmacist as an early detector of health issues, facilitating timely referrals to physicians. For instance, detecting undiagnosed hypertension allows for immediate referral to a Hausarzt (general practitioner), thereby reducing the burden on emergency services.</w:t>
      </w:r>
    </w:p>
    <w:bookmarkEnd w:id="24"/>
    <w:bookmarkEnd w:id="25"/>
    <w:bookmarkStart w:id="26" w:name="challenges-and-barriers-to-expansion"/>
    <w:p>
      <w:pPr>
        <w:pStyle w:val="Heading3"/>
      </w:pPr>
      <w:r>
        <w:t xml:space="preserve">4. Challenges and Barriers to Expansion</w:t>
      </w:r>
    </w:p>
    <w:p>
      <w:pPr>
        <w:pStyle w:val="FirstParagraph"/>
      </w:pPr>
      <w:r>
        <w:t xml:space="preserve">Despite these advancements, significant barriers persist for the pharmacist in Germany Berlin. The primary obstacle remains economic: the lack of a standardized fee schedule for clinical services under the Social Code Book V (SGB V). Without guaranteed reimbursement, many pharmacies hesitate to invest in additional training or infrastructure required for advanced clinical practice.</w:t>
      </w:r>
    </w:p>
    <w:p>
      <w:pPr>
        <w:pStyle w:val="BodyText"/>
      </w:pPr>
      <w:r>
        <w:t xml:space="preserve">Furthermore, professional culture plays a role. The traditional hierarchy in German healthcare often places physicians at the apex, with pharmacists viewed as support staff rather than collaborative partners. Interprofessional collaboration mechanisms are less formalized in Germany compared to North American models. Additionally, concerns regarding data privacy and the interoperability of pharmacy software with electronic health records (EHR) hinder seamless information exchange between pharmacists and other healthcare providers.</w:t>
      </w:r>
    </w:p>
    <w:bookmarkEnd w:id="26"/>
    <w:bookmarkStart w:id="27" w:name="discussion"/>
    <w:p>
      <w:pPr>
        <w:pStyle w:val="Heading3"/>
      </w:pPr>
      <w:r>
        <w:t xml:space="preserve">5. Discussion</w:t>
      </w:r>
    </w:p>
    <w:p>
      <w:pPr>
        <w:pStyle w:val="FirstParagraph"/>
      </w:pPr>
      <w:r>
        <w:t xml:space="preserve">The transformation of the pharmacist’s role in Germany Berlin reflects a broader European trend toward patient-centered care. The unique characteristics of Berlin—its size, diversity, and specific regulatory exemptions granted to the city-state—allow for rapid experimentation with new healthcare delivery models. The success of these pilots suggests that pharmacists are well-positioned to alleviate pressure on the German healthcare system.</w:t>
      </w:r>
    </w:p>
    <w:p>
      <w:pPr>
        <w:pStyle w:val="BodyText"/>
      </w:pPr>
      <w:r>
        <w:t xml:space="preserve">However, scaling these initiatives requires legislative reform. The current fee structure fails to recognize the cognitive and clinical skills of the pharmacist. To truly integrate pharmacists into primary care teams in Germany Berlin, policymakers must establish sustainable financing models that value professional expertise over product sales margins.</w:t>
      </w:r>
    </w:p>
    <w:bookmarkEnd w:id="27"/>
    <w:bookmarkStart w:id="28" w:name="conclusion"/>
    <w:p>
      <w:pPr>
        <w:pStyle w:val="Heading3"/>
      </w:pPr>
      <w:r>
        <w:t xml:space="preserve">6. Conclusion</w:t>
      </w:r>
    </w:p>
    <w:p>
      <w:pPr>
        <w:pStyle w:val="FirstParagraph"/>
      </w:pPr>
      <w:r>
        <w:t xml:space="preserve">In conclusion, the pharmacist in Germany Berlin is transitioning from a commodity-focused role to a clinically engaged healthcare professional. While historical regulations have constrained this evolution, recent developments in vaccination programs, chronic disease management, and point-of-care testing demonstrate significant potential for growth. For the future of public health in Germany Berlin, recognizing and legally supporting this expanded role of the pharmacist is not merely an option but a necessity. Further research into cost-effectiveness studies specific to Berlin’s urban context will be crucial in advocating for comprehensive policy reforms.</w:t>
      </w:r>
    </w:p>
    <w:bookmarkEnd w:id="28"/>
    <w:bookmarkStart w:id="29" w:name="references"/>
    <w:p>
      <w:pPr>
        <w:pStyle w:val="Heading3"/>
      </w:pPr>
      <w:r>
        <w:t xml:space="preserve">References</w:t>
      </w:r>
    </w:p>
    <w:p>
      <w:pPr>
        <w:pStyle w:val="FirstParagraph"/>
      </w:pPr>
      <w:r>
        <w:t xml:space="preserve">1. Bundesinstitut für Arzneimittel und Medizinprodukte. (2023).</w:t>
      </w:r>
      <w:r>
        <w:t xml:space="preserve"> </w:t>
      </w:r>
      <w:r>
        <w:rPr>
          <w:iCs/>
          <w:i/>
        </w:rPr>
        <w:t xml:space="preserve">Jahresbericht zur Arzneimittelversorgung in Deutschland</w:t>
      </w:r>
      <w:r>
        <w:t xml:space="preserve">. BfArM.</w:t>
      </w:r>
    </w:p>
    <w:p>
      <w:pPr>
        <w:pStyle w:val="BodyText"/>
      </w:pPr>
      <w:r>
        <w:t xml:space="preserve">2. Haefeli, W. E., &amp; Schlienger, R. G. (2019). "The role of the community pharmacist in patient care: A European perspective."</w:t>
      </w:r>
      <w:r>
        <w:t xml:space="preserve"> </w:t>
      </w:r>
      <w:r>
        <w:rPr>
          <w:iCs/>
          <w:i/>
        </w:rPr>
        <w:t xml:space="preserve">European Journal of Clinical Pharmacology</w:t>
      </w:r>
      <w:r>
        <w:t xml:space="preserve">, 75(4), 431-438.</w:t>
      </w:r>
    </w:p>
    <w:p>
      <w:pPr>
        <w:pStyle w:val="BodyText"/>
      </w:pPr>
      <w:r>
        <w:t xml:space="preserve">3. Senatsverwaltung für Gesundheit, Soziales und Verbraucherschutz Berlin. (2022).</w:t>
      </w:r>
      <w:r>
        <w:t xml:space="preserve"> </w:t>
      </w:r>
      <w:r>
        <w:rPr>
          <w:iCs/>
          <w:i/>
        </w:rPr>
        <w:t xml:space="preserve">Gesundheitsbericht Berlin</w:t>
      </w:r>
      <w:r>
        <w:t xml:space="preserve">. Berlin: SenGV.</w:t>
      </w:r>
    </w:p>
    <w:p>
      <w:pPr>
        <w:pStyle w:val="BodyText"/>
      </w:pPr>
      <w:r>
        <w:t xml:space="preserve">4. Schaeffeler, E., et al. (2021). "Legislative barriers to clinical pharmacy services in Germany."</w:t>
      </w:r>
      <w:r>
        <w:t xml:space="preserve"> </w:t>
      </w:r>
      <w:r>
        <w:rPr>
          <w:iCs/>
          <w:i/>
        </w:rPr>
        <w:t xml:space="preserve">International Journal of Clinical Pharmacy</w:t>
      </w:r>
      <w:r>
        <w:t xml:space="preserve">, 43, 112-120.</w:t>
      </w:r>
    </w:p>
    <w:p>
      <w:pPr>
        <w:pStyle w:val="BodyText"/>
      </w:pPr>
      <w:r>
        <w:t xml:space="preserve">5. World Health Organization. (2020).</w:t>
      </w:r>
      <w:r>
        <w:t xml:space="preserve"> </w:t>
      </w:r>
      <w:r>
        <w:rPr>
          <w:iCs/>
          <w:i/>
        </w:rPr>
        <w:t xml:space="preserve">The role of pharmacists in pandemic response and primary healthcare strengthening</w:t>
      </w:r>
      <w:r>
        <w:t xml:space="preserve">. WHO Regional Office for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Germany Berlin: A Critical Analysis of Clinical Integration and Regulatory Frameworks</dc:title>
  <dc:creator/>
  <dc:language>en</dc:language>
  <cp:keywords/>
  <dcterms:created xsi:type="dcterms:W3CDTF">2026-07-29T13:34:11Z</dcterms:created>
  <dcterms:modified xsi:type="dcterms:W3CDTF">2026-07-29T13:34:11Z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