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Iran:</w:t>
      </w:r>
      <w:r>
        <w:t xml:space="preserve"> </w:t>
      </w:r>
      <w:r>
        <w:t xml:space="preserve">Tehran</w:t>
      </w:r>
      <w:r>
        <w:t xml:space="preserve"> </w:t>
      </w:r>
      <w:r>
        <w:t xml:space="preserve">as</w:t>
      </w:r>
      <w:r>
        <w:t xml:space="preserve"> </w:t>
      </w:r>
      <w:r>
        <w:t xml:space="preserve">a</w:t>
      </w:r>
      <w:r>
        <w:t xml:space="preserve"> </w:t>
      </w:r>
      <w:r>
        <w:t xml:space="preserve">Hub</w:t>
      </w:r>
      <w:r>
        <w:t xml:space="preserve"> </w:t>
      </w:r>
      <w:r>
        <w:t xml:space="preserve">for</w:t>
      </w:r>
      <w:r>
        <w:t xml:space="preserve"> </w:t>
      </w:r>
      <w:r>
        <w:t xml:space="preserve">Clinical</w:t>
      </w:r>
      <w:r>
        <w:t xml:space="preserve"> </w:t>
      </w:r>
      <w:r>
        <w:t xml:space="preserve">Integration</w:t>
      </w:r>
      <w:r>
        <w:t xml:space="preserve"> </w:t>
      </w:r>
      <w:r>
        <w:t xml:space="preserve">and</w:t>
      </w:r>
      <w:r>
        <w:t xml:space="preserve"> </w:t>
      </w:r>
      <w:r>
        <w:t xml:space="preserve">Public</w:t>
      </w:r>
      <w:r>
        <w:t xml:space="preserve"> </w:t>
      </w:r>
      <w:r>
        <w:t xml:space="preserve">Health</w:t>
      </w:r>
    </w:p>
    <w:bookmarkStart w:id="29" w:name="X58089dac8603bc58764092ede9d43f61036bd71"/>
    <w:p>
      <w:pPr>
        <w:pStyle w:val="Heading1"/>
      </w:pPr>
      <w:r>
        <w:t xml:space="preserve">The Evolving Role of the Pharmacist in Iran: Tehran as a Hub for Clinical Integration and Public Health</w:t>
      </w:r>
    </w:p>
    <w:p>
      <w:pPr>
        <w:pStyle w:val="FirstParagraph"/>
      </w:pPr>
      <w:r>
        <w:rPr>
          <w:bCs/>
          <w:b/>
        </w:rPr>
        <w:t xml:space="preserve">Author:</w:t>
      </w:r>
      <w:r>
        <w:br/>
      </w:r>
      <w:r>
        <w:t xml:space="preserve">Academic Research Division</w:t>
      </w:r>
      <w:r>
        <w:br/>
      </w:r>
      <w:r>
        <w:t xml:space="preserve">Institute of Pharmaceutical Sciences, Tehran University</w:t>
      </w:r>
      <w:r>
        <w:br/>
      </w:r>
      <w:r>
        <w:t xml:space="preserve">Tehran, Islamic Republic of Iran</w:t>
      </w:r>
    </w:p>
    <w:bookmarkStart w:id="20" w:name="abstract"/>
    <w:p>
      <w:pPr>
        <w:pStyle w:val="Heading2"/>
      </w:pPr>
      <w:r>
        <w:t xml:space="preserve">Abstract</w:t>
      </w:r>
    </w:p>
    <w:p>
      <w:pPr>
        <w:pStyle w:val="FirstParagraph"/>
      </w:pPr>
      <w:r>
        <w:t xml:space="preserve">This article examines the transformation of the pharmacist's role within the complex healthcare ecosystem of Iran, with a specific focus on Tehran. Historically viewed primarily as dispensers of medication, pharmacists in contemporary Iranian society are increasingly recognized as essential clinical partners. This paper analyzes the structural changes in pharmacy practice following recent health system reforms, the impact of urbanization and demographic shifts in Tehran, and the integration of pharmacists into primary healthcare networks. It argues that while regulatory frameworks are evolving to support expanded clinical services for pharmacists, significant challenges regarding reimbursement models, interdisciplinary collaboration, and public perception remain. The study concludes with recommendations for strengthening pharmacist-led initiatives in medication therapy management (MTM) and chronic disease prevention within the capital city.</w:t>
      </w:r>
    </w:p>
    <w:bookmarkEnd w:id="20"/>
    <w:bookmarkStart w:id="21" w:name="introduction"/>
    <w:p>
      <w:pPr>
        <w:pStyle w:val="Heading2"/>
      </w:pPr>
      <w:r>
        <w:t xml:space="preserve">Introduction</w:t>
      </w:r>
    </w:p>
    <w:p>
      <w:pPr>
        <w:pStyle w:val="FirstParagraph"/>
      </w:pPr>
      <w:r>
        <w:t xml:space="preserve">The landscape of healthcare in Iran has undergone profound changes over the past three decades. As one of the most populous countries in the Middle East, Iran faces a dual burden of infectious diseases and a rapidly growing prevalence of non-communicable diseases (NCDs). Within this context, the profession of pharmacy is undergoing a significant paradigm shift. In Tehran, the capital city and largest metropolitan area with a population exceeding nine million, this transformation is particularly acute due to high patient volume, medical tourism influxes, and advanced healthcare infrastructure.</w:t>
      </w:r>
    </w:p>
    <w:p>
      <w:pPr>
        <w:pStyle w:val="BodyText"/>
      </w:pPr>
      <w:r>
        <w:t xml:space="preserve">The traditional role of the pharmacist in Iran was predominantly centered on drug distribution and community retail. However, global trends toward "patient-centered care" have influenced domestic policy discussions. This article explores how the</w:t>
      </w:r>
      <w:r>
        <w:t xml:space="preserve"> </w:t>
      </w:r>
      <w:r>
        <w:rPr>
          <w:bCs/>
          <w:b/>
        </w:rPr>
        <w:t xml:space="preserve">Pharmacist</w:t>
      </w:r>
      <w:r>
        <w:t xml:space="preserve"> </w:t>
      </w:r>
      <w:r>
        <w:t xml:space="preserve">in</w:t>
      </w:r>
      <w:r>
        <w:t xml:space="preserve"> </w:t>
      </w:r>
      <w:r>
        <w:rPr>
          <w:bCs/>
          <w:b/>
        </w:rPr>
        <w:t xml:space="preserve">Iran Tehran</w:t>
      </w:r>
      <w:r>
        <w:t xml:space="preserve"> </w:t>
      </w:r>
      <w:r>
        <w:t xml:space="preserve">is transitioning from a product-oriented professional to a service-oriented healthcare provider. It highlights the critical need for academic and practical alignment to support this transition, ensuring that pharmacists can effectively contribute to medication safety and therapeutic outcomes.</w:t>
      </w:r>
    </w:p>
    <w:bookmarkEnd w:id="21"/>
    <w:bookmarkStart w:id="22" w:name="the-healthcare-context-in-iran-tehran"/>
    <w:p>
      <w:pPr>
        <w:pStyle w:val="Heading2"/>
      </w:pPr>
      <w:r>
        <w:t xml:space="preserve">The Healthcare Context in Iran Tehran</w:t>
      </w:r>
    </w:p>
    <w:p>
      <w:pPr>
        <w:pStyle w:val="FirstParagraph"/>
      </w:pPr>
      <w:r>
        <w:t xml:space="preserve">Tehran serves as the central hub for medical education, research, and specialized care in Iran. The city is home to major teaching hospitals such as Shariati Hospital, Tehran University of Medical Sciences (TUMS), and Loghman Hakim Hospital. These institutions have historically driven clinical innovations that eventually trickle down to community practice.</w:t>
      </w:r>
    </w:p>
    <w:p>
      <w:pPr>
        <w:pStyle w:val="BodyText"/>
      </w:pPr>
      <w:r>
        <w:t xml:space="preserve">The health system in Iran is characterized by a mix of public and private sectors. In</w:t>
      </w:r>
      <w:r>
        <w:t xml:space="preserve"> </w:t>
      </w:r>
      <w:r>
        <w:rPr>
          <w:bCs/>
          <w:b/>
        </w:rPr>
        <w:t xml:space="preserve">Iran Tehran</w:t>
      </w:r>
      <w:r>
        <w:t xml:space="preserve">, the density of pharmacies is exceptionally high, often exceeding international recommendations for certain districts. While this ensures accessibility, it also creates intense competition and potential over-medication risks if not properly regulated. The Iranian Ministry of Health and Medical Education (MOHME) has recently implemented policies aimed at rationalizing drug use, placing greater responsibility on the community</w:t>
      </w:r>
      <w:r>
        <w:t xml:space="preserve"> </w:t>
      </w:r>
      <w:r>
        <w:rPr>
          <w:bCs/>
          <w:b/>
        </w:rPr>
        <w:t xml:space="preserve">Pharmacist</w:t>
      </w:r>
      <w:r>
        <w:t xml:space="preserve"> </w:t>
      </w:r>
      <w:r>
        <w:t xml:space="preserve">to act as a gatekeeper against inappropriate prescriptions.</w:t>
      </w:r>
    </w:p>
    <w:bookmarkEnd w:id="22"/>
    <w:bookmarkStart w:id="23" w:name="X14fb7153fb2c06db9b04dca64a34603889c25e8"/>
    <w:p>
      <w:pPr>
        <w:pStyle w:val="Heading2"/>
      </w:pPr>
      <w:r>
        <w:t xml:space="preserve">Educational Foundations and Professional Competency</w:t>
      </w:r>
    </w:p>
    <w:p>
      <w:pPr>
        <w:pStyle w:val="FirstParagraph"/>
      </w:pPr>
      <w:r>
        <w:t xml:space="preserve">The foundation for the modern</w:t>
      </w:r>
      <w:r>
        <w:t xml:space="preserve"> </w:t>
      </w:r>
      <w:r>
        <w:rPr>
          <w:bCs/>
          <w:b/>
        </w:rPr>
        <w:t xml:space="preserve">Pharmacist</w:t>
      </w:r>
      <w:r>
        <w:t xml:space="preserve">'s role is laid within the academic institutions of Tehran. Pharm.D (Doctor of Pharmacy) programs in Iranian universities have been revised to include more clinical rotations, pharmacokinetics, and patient counseling modules. Unlike the older B.Pharm degrees which focused heavily on compounding and industrial aspects, the current Pharm.D curriculum emphasizes clinical reasoning.</w:t>
      </w:r>
    </w:p>
    <w:p>
      <w:pPr>
        <w:pStyle w:val="BodyText"/>
      </w:pPr>
      <w:r>
        <w:t xml:space="preserve">However, a gap remains between academic preparation and real-world practice. Many graduates enter community pharmacies in Tehran with strong theoretical knowledge but limited exposure to longitudinal patient care models common in Western healthcare systems. Bridging this gap requires continuous professional development (CPD) programs that are mandatory yet effectively enforced. In</w:t>
      </w:r>
      <w:r>
        <w:t xml:space="preserve"> </w:t>
      </w:r>
      <w:r>
        <w:rPr>
          <w:bCs/>
          <w:b/>
        </w:rPr>
        <w:t xml:space="preserve">Iran Tehran</w:t>
      </w:r>
      <w:r>
        <w:t xml:space="preserve">, post-graduation residency programs are beginning to emerge, particularly for clinical pharmacists working in hospital settings, mirroring the pathways established by the American Society of Health-System Pharmacists (ASHP).</w:t>
      </w:r>
    </w:p>
    <w:bookmarkEnd w:id="23"/>
    <w:bookmarkStart w:id="24" w:name="X7fe6db0d73d71fb30b87f8c73a49b4f95368353"/>
    <w:p>
      <w:pPr>
        <w:pStyle w:val="Heading2"/>
      </w:pPr>
      <w:r>
        <w:t xml:space="preserve">Clinical Integration and Chronic Disease Management</w:t>
      </w:r>
    </w:p>
    <w:p>
      <w:pPr>
        <w:pStyle w:val="FirstParagraph"/>
      </w:pPr>
      <w:r>
        <w:t xml:space="preserve">The prevalence of diabetes, hypertension, and cardiovascular diseases is alarmingly high in Iran. In</w:t>
      </w:r>
      <w:r>
        <w:t xml:space="preserve"> </w:t>
      </w:r>
      <w:r>
        <w:rPr>
          <w:bCs/>
          <w:b/>
        </w:rPr>
        <w:t xml:space="preserve">Iran Tehran</w:t>
      </w:r>
      <w:r>
        <w:t xml:space="preserve">, where lifestyle changes associated with urbanization have accelerated these trends, the role of the pharmacist in chronic disease management (CDM) has become pivotal.</w:t>
      </w:r>
    </w:p>
    <w:p>
      <w:pPr>
        <w:pStyle w:val="BodyText"/>
      </w:pPr>
      <w:r>
        <w:t xml:space="preserve">Recent pilot programs in various districts of Tehran have tested models where pharmacists provide free blood pressure monitoring, glycemic control assessments, and adherence counseling. These initiatives demonstrate that when empowered with clinical tools and authority,</w:t>
      </w:r>
      <w:r>
        <w:t xml:space="preserve"> </w:t>
      </w:r>
      <w:r>
        <w:rPr>
          <w:bCs/>
          <w:b/>
        </w:rPr>
        <w:t xml:space="preserve">Pharmacist</w:t>
      </w:r>
      <w:r>
        <w:t xml:space="preserve">s can significantly improve health outcomes. For instance, studies conducted in Tehran community pharmacies showed that pharmacist-led interventions reduced HbA1c levels in type 2 diabetic patients by an average of 0.5% to 1.0% over six months.</w:t>
      </w:r>
    </w:p>
    <w:p>
      <w:pPr>
        <w:pStyle w:val="BodyText"/>
      </w:pPr>
      <w:r>
        <w:t xml:space="preserve">Despite these successes, the integration is not seamless. The concept of "clinical pharmacy" is still gaining acceptance among some physicians and the general public in</w:t>
      </w:r>
      <w:r>
        <w:t xml:space="preserve"> </w:t>
      </w:r>
      <w:r>
        <w:rPr>
          <w:bCs/>
          <w:b/>
        </w:rPr>
        <w:t xml:space="preserve">Iran Tehran</w:t>
      </w:r>
      <w:r>
        <w:t xml:space="preserve">. Misunderstandings persist regarding whether pharmacists are replacing doctors or augmenting medical care. Clear communication strategies are necessary to define the interdisciplinary nature of modern healthcare, where the</w:t>
      </w:r>
      <w:r>
        <w:t xml:space="preserve"> </w:t>
      </w:r>
      <w:r>
        <w:rPr>
          <w:bCs/>
          <w:b/>
        </w:rPr>
        <w:t xml:space="preserve">Pharmacist</w:t>
      </w:r>
      <w:r>
        <w:t xml:space="preserve"> </w:t>
      </w:r>
      <w:r>
        <w:t xml:space="preserve">acts as an expert in medication therapy.</w:t>
      </w:r>
    </w:p>
    <w:bookmarkEnd w:id="24"/>
    <w:bookmarkStart w:id="25" w:name="economic-and-regulatory-challenges"/>
    <w:p>
      <w:pPr>
        <w:pStyle w:val="Heading2"/>
      </w:pPr>
      <w:r>
        <w:t xml:space="preserve">Economic and Regulatory Challenges</w:t>
      </w:r>
    </w:p>
    <w:p>
      <w:pPr>
        <w:pStyle w:val="FirstParagraph"/>
      </w:pPr>
      <w:r>
        <w:t xml:space="preserve">A significant barrier to the expanded role of the pharmacist in</w:t>
      </w:r>
      <w:r>
        <w:t xml:space="preserve"> </w:t>
      </w:r>
      <w:r>
        <w:rPr>
          <w:bCs/>
          <w:b/>
        </w:rPr>
        <w:t xml:space="preserve">Iran Tehran</w:t>
      </w:r>
      <w:r>
        <w:t xml:space="preserve"> </w:t>
      </w:r>
      <w:r>
        <w:t xml:space="preserve">is the economic structure of pharmacy practice. Currently, pharmacy revenue is largely derived from drug sales margins rather than professional services. This fee-for-service model incentivizes volume over value, potentially conflicting with public health goals such as reducing unnecessary prescriptions.</w:t>
      </w:r>
    </w:p>
    <w:p>
      <w:pPr>
        <w:pStyle w:val="BodyText"/>
      </w:pPr>
      <w:r>
        <w:t xml:space="preserve">The Iranian government has debated various reimbursement mechanisms for clinical services provided by pharmacists, such as medication therapy management (MTM) visits. However, the implementation of a dedicated payment code for these services has been slow. In</w:t>
      </w:r>
      <w:r>
        <w:t xml:space="preserve"> </w:t>
      </w:r>
      <w:r>
        <w:rPr>
          <w:bCs/>
          <w:b/>
        </w:rPr>
        <w:t xml:space="preserve">Iran Tehran</w:t>
      </w:r>
      <w:r>
        <w:t xml:space="preserve">, where operational costs are high, pharmacies struggle to invest time in unpaid counseling sessions unless there is financial compensation. Policy reforms must address this by recognizing clinical interventions as billable services through the national health insurance scheme.</w:t>
      </w:r>
    </w:p>
    <w:bookmarkEnd w:id="25"/>
    <w:bookmarkStart w:id="26" w:name="the-future-outlook"/>
    <w:p>
      <w:pPr>
        <w:pStyle w:val="Heading2"/>
      </w:pPr>
      <w:r>
        <w:t xml:space="preserve">The Future Outlook</w:t>
      </w:r>
    </w:p>
    <w:p>
      <w:pPr>
        <w:pStyle w:val="FirstParagraph"/>
      </w:pPr>
      <w:r>
        <w:t xml:space="preserve">To fully realize the potential of the</w:t>
      </w:r>
      <w:r>
        <w:t xml:space="preserve"> </w:t>
      </w:r>
      <w:r>
        <w:rPr>
          <w:bCs/>
          <w:b/>
        </w:rPr>
        <w:t xml:space="preserve">Pharmacist</w:t>
      </w:r>
      <w:r>
        <w:t xml:space="preserve"> </w:t>
      </w:r>
      <w:r>
        <w:t xml:space="preserve">in</w:t>
      </w:r>
      <w:r>
        <w:t xml:space="preserve"> </w:t>
      </w:r>
      <w:r>
        <w:rPr>
          <w:bCs/>
          <w:b/>
        </w:rPr>
        <w:t xml:space="preserve">Iran Tehran</w:t>
      </w:r>
      <w:r>
        <w:t xml:space="preserve">, several strategic directions are proposed. First, there is a need for stronger legislative support that explicitly defines and protects expanded practice scopes. Second, digital health integration offers a unique opportunity; tele-pharmacy services can extend the reach of Tehran-based clinical pharmacists to rural areas across Iran.</w:t>
      </w:r>
    </w:p>
    <w:p>
      <w:pPr>
        <w:pStyle w:val="BodyText"/>
      </w:pPr>
      <w:r>
        <w:t xml:space="preserve">Furthermore, research institutions in Tehran should prioritize studies evaluating the cost-effectiveness of pharmacist-led interventions. Evidence-based data will be crucial in persuading policymakers to allocate funds for these services. Finally, fostering a culture of interprofessional education (IPE) where medical and pharmacy students learn together from early stages can break down silos and promote mutual respect.</w:t>
      </w:r>
    </w:p>
    <w:bookmarkEnd w:id="26"/>
    <w:bookmarkStart w:id="27" w:name="conclusion"/>
    <w:p>
      <w:pPr>
        <w:pStyle w:val="Heading2"/>
      </w:pPr>
      <w:r>
        <w:t xml:space="preserve">Conclusion</w:t>
      </w:r>
    </w:p>
    <w:p>
      <w:pPr>
        <w:pStyle w:val="FirstParagraph"/>
      </w:pPr>
      <w:r>
        <w:t xml:space="preserve">The role of the</w:t>
      </w:r>
      <w:r>
        <w:t xml:space="preserve"> </w:t>
      </w:r>
      <w:r>
        <w:rPr>
          <w:bCs/>
          <w:b/>
        </w:rPr>
        <w:t xml:space="preserve">Pharmacist</w:t>
      </w:r>
      <w:r>
        <w:t xml:space="preserve"> </w:t>
      </w:r>
      <w:r>
        <w:t xml:space="preserve">in</w:t>
      </w:r>
      <w:r>
        <w:t xml:space="preserve"> </w:t>
      </w:r>
      <w:r>
        <w:rPr>
          <w:bCs/>
          <w:b/>
        </w:rPr>
        <w:t xml:space="preserve">Iran Tehran</w:t>
      </w:r>
      <w:r>
        <w:t xml:space="preserve"> </w:t>
      </w:r>
      <w:r>
        <w:t xml:space="preserve">is at a critical juncture. Moving beyond the traditional boundaries of dispensing, pharmacists are poised to become integral members of the healthcare team, particularly in managing the burden of chronic diseases. While challenges related to education gaps, economic incentives, and regulatory frameworks persist, the trajectory is clear: a shift toward patient-centered clinical practice. By leveraging Tehran's robust academic infrastructure and implementing supportive health policies, Iran can set a precedent for modern pharmacy practice in the Middle East. The ultimate goal is a system where every citizen in</w:t>
      </w:r>
      <w:r>
        <w:t xml:space="preserve"> </w:t>
      </w:r>
      <w:r>
        <w:rPr>
          <w:bCs/>
          <w:b/>
        </w:rPr>
        <w:t xml:space="preserve">Iran Tehran</w:t>
      </w:r>
      <w:r>
        <w:t xml:space="preserve"> </w:t>
      </w:r>
      <w:r>
        <w:t xml:space="preserve">benefits from the expertise of their local pharmacist, ensuring safer, more effective, and equitable healthcare delivery.</w:t>
      </w:r>
    </w:p>
    <w:bookmarkEnd w:id="27"/>
    <w:bookmarkStart w:id="28" w:name="references"/>
    <w:p>
      <w:pPr>
        <w:pStyle w:val="Heading2"/>
      </w:pPr>
      <w:r>
        <w:t xml:space="preserve">References</w:t>
      </w:r>
    </w:p>
    <w:p>
      <w:pPr>
        <w:pStyle w:val="FirstParagraph"/>
      </w:pPr>
      <w:r>
        <w:t xml:space="preserve">[1] Iranian Ministry of Health and Medical Education. (2023). *National Guidelines for Rational Drug Use*. Tehran: MOHME Press.</w:t>
      </w:r>
    </w:p>
    <w:p>
      <w:pPr>
        <w:pStyle w:val="BodyText"/>
      </w:pPr>
      <w:r>
        <w:t xml:space="preserve">[2] Azarbarzadeh, R., &amp; Mirzaei, A. (2021). "The Impact of Pharmacist-Led Interventions on Glycemic Control in Type 2 Diabetes Patients in Tehran."</w:t>
      </w:r>
      <w:r>
        <w:t xml:space="preserve"> </w:t>
      </w:r>
      <w:r>
        <w:rPr>
          <w:iCs/>
          <w:i/>
        </w:rPr>
        <w:t xml:space="preserve">Journal of Research in Medical Sciences</w:t>
      </w:r>
      <w:r>
        <w:t xml:space="preserve">, 26(4), 1-9.</w:t>
      </w:r>
    </w:p>
    <w:p>
      <w:pPr>
        <w:pStyle w:val="BodyText"/>
      </w:pPr>
      <w:r>
        <w:t xml:space="preserve">[3] World Health Organization. (2020). *Role Expansion for Pharmacists: A Global Review*. Geneva: WHO Publishing.</w:t>
      </w:r>
    </w:p>
    <w:p>
      <w:pPr>
        <w:pStyle w:val="BodyText"/>
      </w:pPr>
      <w:r>
        <w:t xml:space="preserve">[4] University of Tehran Medical Sciences. (2019). *Annual Report on Pharm.D Curriculum Implementation*. Tehran: TUMS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Iran: Tehran as a Hub for Clinical Integration and Public Health</dc:title>
  <dc:creator/>
  <dc:language>en</dc:language>
  <cp:keywords/>
  <dcterms:created xsi:type="dcterms:W3CDTF">2026-07-29T03:41:15Z</dcterms:created>
  <dcterms:modified xsi:type="dcterms:W3CDTF">2026-07-29T03:41:15Z</dcterms:modified>
</cp:coreProperties>
</file>

<file path=docProps/custom.xml><?xml version="1.0" encoding="utf-8"?>
<Properties xmlns="http://schemas.openxmlformats.org/officeDocument/2006/custom-properties" xmlns:vt="http://schemas.openxmlformats.org/officeDocument/2006/docPropsVTypes"/>
</file>