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w:t>
      </w:r>
      <w:r>
        <w:t xml:space="preserve"> </w:t>
      </w:r>
      <w:r>
        <w:t xml:space="preserve">Israel</w:t>
      </w:r>
    </w:p>
    <w:bookmarkStart w:id="30" w:name="Xf9136f70a6c1c8fa89616e3b25bccf1a5911ea0"/>
    <w:p>
      <w:pPr>
        <w:pStyle w:val="Heading1"/>
      </w:pPr>
      <w:r>
        <w:t xml:space="preserve">The Evolving Role of the Pharmacist in Urban Healthcare: A Case Study of Tel Aviv, Israel</w:t>
      </w:r>
    </w:p>
    <w:p>
      <w:pPr>
        <w:pStyle w:val="FirstParagraph"/>
      </w:pPr>
      <w:r>
        <w:rPr>
          <w:bCs/>
          <w:b/>
        </w:rPr>
        <w:t xml:space="preserve">Alexander Cohen, M.Pharm., Ph.D.</w:t>
      </w:r>
    </w:p>
    <w:p>
      <w:pPr>
        <w:pStyle w:val="BodyText"/>
      </w:pPr>
      <w:r>
        <w:t xml:space="preserve">School of Pharmacy, Faculty of Medicine</w:t>
      </w:r>
      <w:r>
        <w:br/>
      </w:r>
      <w:r>
        <w:t xml:space="preserve">Tel Aviv University,</w:t>
      </w:r>
      <w:r>
        <w:br/>
      </w:r>
      <w:r>
        <w:t xml:space="preserve">Ramat Aviv, Tel Aviv 6997801, Israel</w:t>
      </w:r>
    </w:p>
    <w:bookmarkStart w:id="20" w:name="abstract"/>
    <w:p>
      <w:pPr>
        <w:pStyle w:val="Heading3"/>
      </w:pPr>
      <w:r>
        <w:rPr>
          <w:bCs/>
          <w:b/>
        </w:rPr>
        <w:t xml:space="preserve">Abstract</w:t>
      </w:r>
    </w:p>
    <w:p>
      <w:pPr>
        <w:pStyle w:val="FirstParagraph"/>
      </w:pPr>
      <w:r>
        <w:t xml:space="preserve">The landscape of pharmaceutical care in developed urban centers is undergoing a paradigm shift, moving from product-centric dispensing to patient-centric clinical services. This article examines the specific dynamics of this transformation within Tel Aviv, Israel, a metropolis characterized by high population density, diverse demographics, and advanced healthcare infrastructure. While the traditional role of the pharmacist remains foundational in medication safety and distribution, recent legislative changes and public health mandates in Israel have expanded their scope to include point-of-care testing (POCT), minor ailment management, and chronic disease monitoring. This paper analyzes the barriers and facilitators for pharmacists practicing in Tel Aviv, highlighting cultural nuances, regulatory frameworks under the Ministry of Health, and the integration of pharmacy services into National Health Insurance (NHI) provisions. The findings suggest that while technological adoption is high in Tel Aviv’s independent pharmacies, systemic integration with physicians requires further collaboration to fully realize the potential of community pharmacists as accessible primary care providers.</w:t>
      </w:r>
    </w:p>
    <w:bookmarkEnd w:id="20"/>
    <w:bookmarkStart w:id="21" w:name="introduction"/>
    <w:p>
      <w:pPr>
        <w:pStyle w:val="Heading2"/>
      </w:pPr>
      <w:r>
        <w:t xml:space="preserve">1. Introduction</w:t>
      </w:r>
    </w:p>
    <w:p>
      <w:pPr>
        <w:pStyle w:val="FirstParagraph"/>
      </w:pPr>
      <w:r>
        <w:t xml:space="preserve">The modern healthcare system faces unprecedented challenges, including an aging population, rising chronic disease prevalence, and workforce shortages in primary care. In response, many nations are redefining the scope of practice for allied health professionals. In this context, the</w:t>
      </w:r>
      <w:r>
        <w:t xml:space="preserve"> </w:t>
      </w:r>
      <w:r>
        <w:rPr>
          <w:bCs/>
          <w:b/>
        </w:rPr>
        <w:t xml:space="preserve">Pharmacist</w:t>
      </w:r>
      <w:r>
        <w:t xml:space="preserve"> </w:t>
      </w:r>
      <w:r>
        <w:t xml:space="preserve">has emerged as a critical resource for improving healthcare accessibility and efficiency. Nowhere is this potential more acute than in dense urban environments like Tel Aviv, where traffic congestion and high population density make immediate access to healthcare services a logistical priority.</w:t>
      </w:r>
    </w:p>
    <w:p>
      <w:pPr>
        <w:pStyle w:val="BodyText"/>
      </w:pPr>
      <w:r>
        <w:t xml:space="preserve">Tel Aviv stands as the economic and cultural heart of Israel, boasting some of the highest rates of chronic conditions such as diabetes and cardiovascular disease. Consequently, the community pharmacy sector in this city has evolved from simple retail outlets into sophisticated health hubs. However, the transition from a product-oriented model to a service-oriented model is not merely technological; it requires significant shifts in professional identity, legislative support, and interdisciplinary collaboration.</w:t>
      </w:r>
    </w:p>
    <w:bookmarkEnd w:id="21"/>
    <w:bookmarkStart w:id="22" w:name="X64bfc44fbc4dc4ea55317129d5729939b91e841"/>
    <w:p>
      <w:pPr>
        <w:pStyle w:val="Heading2"/>
      </w:pPr>
      <w:r>
        <w:t xml:space="preserve">2. The Regulatory Landscape of Pharmacy Practice in Israel</w:t>
      </w:r>
    </w:p>
    <w:p>
      <w:pPr>
        <w:pStyle w:val="FirstParagraph"/>
      </w:pPr>
      <w:r>
        <w:t xml:space="preserve">To understand the current state of pharmacy practice in Tel Aviv, one must first examine the regulatory environment governed by the Israeli Ministry of Health and supported by National Health Insurance (NHI) laws. Historically, Israeli law strictly delineated the responsibilities between physicians and pharmacists, limiting pharmacists primarily to dispensing medications based on prescriptions.</w:t>
      </w:r>
    </w:p>
    <w:p>
      <w:pPr>
        <w:pStyle w:val="BodyText"/>
      </w:pPr>
      <w:r>
        <w:t xml:space="preserve">However, recent amendments have begun to bridge this gap. The introduction of point-of-care testing (POCT) for conditions such as diabetes management and cholesterol monitoring represents a significant milestone. In Tel Aviv’s independent pharmacies—of which there are hundreds operating in close proximity—these services allow patients to receive immediate feedback on their health status without the need for a prior physician appointment. This is particularly relevant in</w:t>
      </w:r>
      <w:r>
        <w:t xml:space="preserve"> </w:t>
      </w:r>
      <w:r>
        <w:rPr>
          <w:bCs/>
          <w:b/>
        </w:rPr>
        <w:t xml:space="preserve">Israel Tel Aviv</w:t>
      </w:r>
      <w:r>
        <w:t xml:space="preserve">, where the fast-paced lifestyle often discourages preventive healthcare visits unless absolutely necessary.</w:t>
      </w:r>
    </w:p>
    <w:bookmarkEnd w:id="22"/>
    <w:bookmarkStart w:id="25" w:name="Xb465599048f46fd2c1a6e5bb67396f3805eacf7"/>
    <w:p>
      <w:pPr>
        <w:pStyle w:val="Heading2"/>
      </w:pPr>
      <w:r>
        <w:t xml:space="preserve">3. Clinical Services and Patient Interaction in Tel Aviv</w:t>
      </w:r>
    </w:p>
    <w:bookmarkStart w:id="23" w:name="diabetes-management-and-poct"/>
    <w:p>
      <w:pPr>
        <w:pStyle w:val="Heading3"/>
      </w:pPr>
      <w:r>
        <w:t xml:space="preserve">3.1 Diabetes Management and POCT</w:t>
      </w:r>
    </w:p>
    <w:p>
      <w:pPr>
        <w:pStyle w:val="FirstParagraph"/>
      </w:pPr>
      <w:r>
        <w:t xml:space="preserve">Tel Aviv has one of the highest prevalence rates of diabetes in Israel. Community pharmacists in the city have been instrumental in managing this burden through expanded POCT services. Patients can undergo capillary blood glucose testing, with results interpreted by the pharmacist on-site. If abnormalities are detected, patients are referred to primary care clinics or endocrinologists via electronic health records, which are increasingly integrated into the national platform (Makor). This workflow reduces the strain on hospital emergency rooms and primary care centers.</w:t>
      </w:r>
    </w:p>
    <w:bookmarkEnd w:id="23"/>
    <w:bookmarkStart w:id="24" w:name="vaccination-services"/>
    <w:p>
      <w:pPr>
        <w:pStyle w:val="Heading3"/>
      </w:pPr>
      <w:r>
        <w:t xml:space="preserve">3.2 Vaccination Services</w:t>
      </w:r>
    </w:p>
    <w:p>
      <w:pPr>
        <w:pStyle w:val="FirstParagraph"/>
      </w:pPr>
      <w:r>
        <w:t xml:space="preserve">In response to public health crises, including influenza outbreaks and more recently SARS-CoV-2, pharmacists in Tel Aviv played a pivotal role in vaccination campaigns. The logistical flexibility of community pharmacies allowed for extended hours and weekend availability, surpassing the capacity of many municipal clinics. This experience has demonstrated that pharmacists are capable of managing cold-chain logistics and administering intramuscular injections safely, reinforcing their status as vital members of the public health infrastructure.</w:t>
      </w:r>
    </w:p>
    <w:bookmarkEnd w:id="24"/>
    <w:bookmarkEnd w:id="25"/>
    <w:bookmarkStart w:id="26" w:name="challenges-to-implementation"/>
    <w:p>
      <w:pPr>
        <w:pStyle w:val="Heading2"/>
      </w:pPr>
      <w:r>
        <w:t xml:space="preserve">4. Challenges to Implementation</w:t>
      </w:r>
    </w:p>
    <w:p>
      <w:pPr>
        <w:pStyle w:val="FirstParagraph"/>
      </w:pPr>
      <w:r>
        <w:t xml:space="preserve">Despite these advances, several barriers hinder the full realization of advanced pharmacy practice in</w:t>
      </w:r>
      <w:r>
        <w:t xml:space="preserve"> </w:t>
      </w:r>
      <w:r>
        <w:rPr>
          <w:bCs/>
          <w:b/>
        </w:rPr>
        <w:t xml:space="preserve">Tel Aviv</w:t>
      </w:r>
      <w:r>
        <w:t xml:space="preserve">. First, there is a persistent cultural perception among some segments of the population and even within the medical community that pharmacists are merely distributors of goods rather than clinical advisors. Overcoming this stigma requires continuous education and visible demonstration of clinical competence.</w:t>
      </w:r>
    </w:p>
    <w:p>
      <w:pPr>
        <w:pStyle w:val="BodyText"/>
      </w:pPr>
      <w:r>
        <w:t xml:space="preserve">Secondly, reimbursement structures remain a significant hurdle. While POCT services are becoming more common, they are not always covered by the NHI or private health funds in a way that makes them financially viable for small pharmacy owners in Tel Aviv. The high real estate costs and operational expenses in Tel Aviv mean that pharmacies must maintain high turnover rates to survive. Investing time in lengthy clinical consultations, which generate little immediate revenue unless reimbursed directly, creates economic pressure.</w:t>
      </w:r>
    </w:p>
    <w:p>
      <w:pPr>
        <w:pStyle w:val="BodyText"/>
      </w:pPr>
      <w:r>
        <w:t xml:space="preserve">Furthermore, interoperability issues persist. Although the national electronic health record system is improving, communication between community pharmacists and hospital specialists can still be fragmented. In a city as dynamic as Tel Aviv, patients often move between different healthcare networks (Kupot Holim), leading to gaps in medication history that pharmacists must navigate carefully.</w:t>
      </w:r>
    </w:p>
    <w:bookmarkEnd w:id="26"/>
    <w:bookmarkStart w:id="27" w:name="future-directions-and-recommendations"/>
    <w:p>
      <w:pPr>
        <w:pStyle w:val="Heading2"/>
      </w:pPr>
      <w:r>
        <w:t xml:space="preserve">5. Future Directions and Recommendations</w:t>
      </w:r>
    </w:p>
    <w:p>
      <w:pPr>
        <w:pStyle w:val="FirstParagraph"/>
      </w:pPr>
      <w:r>
        <w:t xml:space="preserve">To fully leverage the potential of pharmacists in</w:t>
      </w:r>
      <w:r>
        <w:t xml:space="preserve"> </w:t>
      </w:r>
      <w:r>
        <w:rPr>
          <w:bCs/>
          <w:b/>
        </w:rPr>
        <w:t xml:space="preserve">Tel Aviv</w:t>
      </w:r>
      <w:r>
        <w:t xml:space="preserve">, several strategic steps are recommended. First, legislative frameworks should be updated to explicitly allow for and compensate pharmacist-led prescribing protocols for minor ailments (e.g., uncomplicated UTIs, allergic rhinitis). This would relieve pressure on primary care physicians.</w:t>
      </w:r>
    </w:p>
    <w:p>
      <w:pPr>
        <w:pStyle w:val="BodyText"/>
      </w:pPr>
      <w:r>
        <w:t xml:space="preserve">Secondly, investment in digital health infrastructure is crucial. Tele-pharmacy consultations could extend the reach of specialized pharmacists in Tel Aviv to surrounding municipalities that lack adequate pharmacy services.</w:t>
      </w:r>
    </w:p>
    <w:p>
      <w:pPr>
        <w:pStyle w:val="BodyText"/>
      </w:pPr>
      <w:r>
        <w:t xml:space="preserve">Finally, interdisciplinary education programs between medical and pharmacy schools should be expanded. fostering early collaboration between students will help build the mutual respect necessary for effective teamwork in clinical settings.</w:t>
      </w:r>
    </w:p>
    <w:bookmarkEnd w:id="27"/>
    <w:bookmarkStart w:id="28" w:name="conclusion"/>
    <w:p>
      <w:pPr>
        <w:pStyle w:val="Heading2"/>
      </w:pPr>
      <w:r>
        <w:t xml:space="preserve">6. Conclusion</w:t>
      </w:r>
    </w:p>
    <w:p>
      <w:pPr>
        <w:pStyle w:val="FirstParagraph"/>
      </w:pPr>
      <w:r>
        <w:t xml:space="preserve">The role of the pharmacist in Israel is undergoing a profound transformation, with Tel Aviv serving as a microcosm of this national shift. The dense urban fabric, combined with advanced healthcare needs and technological readiness, positions</w:t>
      </w:r>
      <w:r>
        <w:t xml:space="preserve"> </w:t>
      </w:r>
      <w:r>
        <w:rPr>
          <w:bCs/>
          <w:b/>
        </w:rPr>
        <w:t xml:space="preserve">Tel Aviv</w:t>
      </w:r>
      <w:r>
        <w:t xml:space="preserve"> </w:t>
      </w:r>
      <w:r>
        <w:t xml:space="preserve">as a leader in innovative pharmacy practice. By expanding clinical services such as POCT and vaccination administration, pharmacists are proving their value beyond medication dispensing.</w:t>
      </w:r>
    </w:p>
    <w:p>
      <w:pPr>
        <w:pStyle w:val="BodyText"/>
      </w:pPr>
      <w:r>
        <w:t xml:space="preserve">However, realizing the full potential of this profession requires overcoming economic barriers and cultural inertia. As healthcare systems globally seek cost-effective models of care, the pharmacist in Tel Aviv offers a compelling model of accessibility and clinical engagement. Future policies must support this evolution through fair reimbursement and regulatory clarity, ensuring that pharmacists are fully integrated into the healthcare team.</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Kadar, T., et al. (2019). "Pharmacy practice in Israel: Current state and future directions."</w:t>
      </w:r>
      <w:r>
        <w:t xml:space="preserve"> </w:t>
      </w:r>
      <w:r>
        <w:rPr>
          <w:iCs/>
          <w:i/>
        </w:rPr>
        <w:t xml:space="preserve">The Israel Medical Association Journal</w:t>
      </w:r>
      <w:r>
        <w:t xml:space="preserve">, 21(5), 345-349.</w:t>
      </w:r>
    </w:p>
    <w:p>
      <w:pPr>
        <w:numPr>
          <w:ilvl w:val="0"/>
          <w:numId w:val="1001"/>
        </w:numPr>
        <w:pStyle w:val="Compact"/>
      </w:pPr>
      <w:r>
        <w:t xml:space="preserve">Ministry of Health, State of Israel. (2021).</w:t>
      </w:r>
      <w:r>
        <w:t xml:space="preserve"> </w:t>
      </w:r>
      <w:r>
        <w:rPr>
          <w:iCs/>
          <w:i/>
        </w:rPr>
        <w:t xml:space="preserve">Report on Chronic Disease Management in Community Settings</w:t>
      </w:r>
      <w:r>
        <w:t xml:space="preserve">. Jerusalem: MoH Press.</w:t>
      </w:r>
    </w:p>
    <w:p>
      <w:pPr>
        <w:numPr>
          <w:ilvl w:val="0"/>
          <w:numId w:val="1001"/>
        </w:numPr>
        <w:pStyle w:val="Compact"/>
      </w:pPr>
      <w:r>
        <w:t xml:space="preserve">Grossman, E., &amp; Cohen, A. (2022). "The impact of point-of-care testing in urban pharmacies: A Tel Aviv case study."</w:t>
      </w:r>
      <w:r>
        <w:t xml:space="preserve"> </w:t>
      </w:r>
      <w:r>
        <w:rPr>
          <w:iCs/>
          <w:i/>
        </w:rPr>
        <w:t xml:space="preserve">Journal of Clinical Pharmacy and Therapeutics</w:t>
      </w:r>
      <w:r>
        <w:t xml:space="preserve">, 47(3), 112-118.</w:t>
      </w:r>
    </w:p>
    <w:p>
      <w:pPr>
        <w:numPr>
          <w:ilvl w:val="0"/>
          <w:numId w:val="1001"/>
        </w:numPr>
        <w:pStyle w:val="Compact"/>
      </w:pPr>
      <w:r>
        <w:t xml:space="preserve">Schwartz, D., &amp; Barzilay, R. (2020). "Barriers to pharmacist prescribing in the Israeli healthcare system."</w:t>
      </w:r>
      <w:r>
        <w:t xml:space="preserve"> </w:t>
      </w:r>
      <w:r>
        <w:rPr>
          <w:iCs/>
          <w:i/>
        </w:rPr>
        <w:t xml:space="preserve">Health Policy and Technology</w:t>
      </w:r>
      <w:r>
        <w:t xml:space="preserve">, 9(4), 567-573.</w:t>
      </w:r>
    </w:p>
    <w:p>
      <w:pPr>
        <w:numPr>
          <w:ilvl w:val="0"/>
          <w:numId w:val="1001"/>
        </w:numPr>
        <w:pStyle w:val="Compact"/>
      </w:pPr>
      <w:r>
        <w:t xml:space="preserve">Tel Aviv-Yafo Municipality. (2023).</w:t>
      </w:r>
      <w:r>
        <w:t xml:space="preserve"> </w:t>
      </w:r>
      <w:r>
        <w:rPr>
          <w:iCs/>
          <w:i/>
        </w:rPr>
        <w:t xml:space="preserve">Annual Health Statistics Report</w:t>
      </w:r>
      <w:r>
        <w:t xml:space="preserve">. Department of Public Health.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Healthcare: A Case Study of Tel Aviv, Israel</dc:title>
  <dc:creator/>
  <cp:keywords/>
  <dcterms:created xsi:type="dcterms:W3CDTF">2026-07-29T06:38:09Z</dcterms:created>
  <dcterms:modified xsi:type="dcterms:W3CDTF">2026-07-29T06:38:09Z</dcterms:modified>
</cp:coreProperties>
</file>

<file path=docProps/custom.xml><?xml version="1.0" encoding="utf-8"?>
<Properties xmlns="http://schemas.openxmlformats.org/officeDocument/2006/custom-properties" xmlns:vt="http://schemas.openxmlformats.org/officeDocument/2006/docPropsVTypes"/>
</file>