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Almaty:</w:t>
      </w:r>
      <w:r>
        <w:t xml:space="preserve"> </w:t>
      </w:r>
      <w:r>
        <w:t xml:space="preserve">Integration</w:t>
      </w:r>
      <w:r>
        <w:t xml:space="preserve"> </w:t>
      </w:r>
      <w:r>
        <w:t xml:space="preserve">into</w:t>
      </w:r>
      <w:r>
        <w:t xml:space="preserve"> </w:t>
      </w:r>
      <w:r>
        <w:t xml:space="preserve">Primary</w:t>
      </w:r>
      <w:r>
        <w:t xml:space="preserve"> </w:t>
      </w:r>
      <w:r>
        <w:t xml:space="preserve">Healthcare</w:t>
      </w:r>
      <w:r>
        <w:t xml:space="preserve"> </w:t>
      </w:r>
      <w:r>
        <w:t xml:space="preserve">and</w:t>
      </w:r>
      <w:r>
        <w:t xml:space="preserve"> </w:t>
      </w:r>
      <w:r>
        <w:t xml:space="preserve">Clinical</w:t>
      </w:r>
      <w:r>
        <w:t xml:space="preserve"> </w:t>
      </w:r>
      <w:r>
        <w:t xml:space="preserve">Practice</w:t>
      </w:r>
    </w:p>
    <w:bookmarkStart w:id="28" w:name="X784fecc2df351ce2c08d5bca00dab36c01f3d93"/>
    <w:p>
      <w:pPr>
        <w:pStyle w:val="Heading1"/>
      </w:pPr>
      <w:r>
        <w:t xml:space="preserve">The Evolving Role of the Pharmacist in Kazakhstan Almaty: Integration into Primary Healthcare and Clinical Practice</w:t>
      </w:r>
    </w:p>
    <w:p>
      <w:pPr>
        <w:pStyle w:val="FirstParagraph"/>
      </w:pPr>
      <w:r>
        <w:rPr>
          <w:iCs/>
          <w:i/>
          <w:bCs/>
          <w:b/>
        </w:rPr>
        <w:t xml:space="preserve">Akbergenova, A. B.</w:t>
      </w:r>
    </w:p>
    <w:p>
      <w:pPr>
        <w:pStyle w:val="BodyText"/>
      </w:pPr>
      <w:r>
        <w:t xml:space="preserve">Department of Pharmacy and Clinical Pharmacology, Nazarbayev University School of Medicine, Astana, Kazakhstan; Faculty of Pharmacy, Al-Farabi Kazakh National University, Almaty.</w:t>
      </w:r>
    </w:p>
    <w:bookmarkStart w:id="20" w:name="abstract"/>
    <w:p>
      <w:pPr>
        <w:pStyle w:val="Heading2"/>
      </w:pPr>
      <w:r>
        <w:t xml:space="preserve">Abstract</w:t>
      </w:r>
    </w:p>
    <w:p>
      <w:pPr>
        <w:pStyle w:val="FirstParagraph"/>
      </w:pPr>
      <w:r>
        <w:t xml:space="preserve">The healthcare landscape in</w:t>
      </w:r>
      <w:r>
        <w:t xml:space="preserve"> </w:t>
      </w:r>
      <w:r>
        <w:rPr>
          <w:bCs/>
          <w:b/>
        </w:rPr>
        <w:t xml:space="preserve">Kazakhstan Almaty</w:t>
      </w:r>
      <w:r>
        <w:t xml:space="preserve"> </w:t>
      </w:r>
      <w:r>
        <w:t xml:space="preserve">is undergoing a significant transformation driven by the government's commitment to universal health coverage and the modernization of medical services. Central to this evolution is the redefinition of the role of the</w:t>
      </w:r>
      <w:r>
        <w:t xml:space="preserve"> </w:t>
      </w:r>
      <w:r>
        <w:rPr>
          <w:bCs/>
          <w:b/>
        </w:rPr>
        <w:t xml:space="preserve">Pharmacist</w:t>
      </w:r>
      <w:r>
        <w:t xml:space="preserve">. This article examines current practices, challenges, and future opportunities for pharmacists within urban centers such as Almaty. We argue that transitioning from a traditional product-focused dispensing model to a patient-centered clinical service model is essential for improving health outcomes. By analyzing legislative frameworks, educational reforms, and comparative international standards in Central Asia, this paper highlights how</w:t>
      </w:r>
      <w:r>
        <w:t xml:space="preserve"> </w:t>
      </w:r>
      <w:r>
        <w:rPr>
          <w:bCs/>
          <w:b/>
        </w:rPr>
        <w:t xml:space="preserve">Pharmacist</w:t>
      </w:r>
      <w:r>
        <w:t xml:space="preserve">-led interventions can enhance medication safety and therapeutic adherence in</w:t>
      </w:r>
      <w:r>
        <w:t xml:space="preserve"> </w:t>
      </w:r>
      <w:r>
        <w:rPr>
          <w:bCs/>
          <w:b/>
        </w:rPr>
        <w:t xml:space="preserve">Kazakhstan Almaty</w:t>
      </w:r>
      <w:r>
        <w:t xml:space="preserve">. The findings suggest that while barriers remain regarding legal authority and reimbursement structures, the strategic integration of clinical pharmacists into primary care networks represents a viable pathway for healthcare optimization.</w:t>
      </w:r>
    </w:p>
    <w:bookmarkEnd w:id="20"/>
    <w:bookmarkStart w:id="21" w:name="introduction"/>
    <w:p>
      <w:pPr>
        <w:pStyle w:val="Heading2"/>
      </w:pPr>
      <w:r>
        <w:t xml:space="preserve">Introduction</w:t>
      </w:r>
    </w:p>
    <w:p>
      <w:pPr>
        <w:pStyle w:val="FirstParagraph"/>
      </w:pPr>
      <w:r>
        <w:t xml:space="preserve">The Republic of Kazakhstan has prioritized the modernization of its healthcare system in recent decades. As a regional hub,</w:t>
      </w:r>
      <w:r>
        <w:t xml:space="preserve"> </w:t>
      </w:r>
      <w:r>
        <w:rPr>
          <w:bCs/>
          <w:b/>
        </w:rPr>
        <w:t xml:space="preserve">Kazakhstan Almaty</w:t>
      </w:r>
      <w:r>
        <w:t xml:space="preserve"> </w:t>
      </w:r>
      <w:r>
        <w:t xml:space="preserve">serves as a critical center for medical innovation and higher education. Within this context, the profession of the</w:t>
      </w:r>
      <w:r>
        <w:t xml:space="preserve"> </w:t>
      </w:r>
      <w:r>
        <w:rPr>
          <w:bCs/>
          <w:b/>
        </w:rPr>
        <w:t xml:space="preserve">Pharmacist</w:t>
      </w:r>
      <w:r>
        <w:t xml:space="preserve"> </w:t>
      </w:r>
      <w:r>
        <w:t xml:space="preserve">stands at a crossroads. Historically, pharmacy practice in Kazakhstan was predominantly focused on the compounding and dispensing of medicines within retail settings. However, rising rates of chronic non-communicable diseases (NCDs), including cardiovascular disorders and diabetes, necessitate a more proactive approach to medication management.</w:t>
      </w:r>
    </w:p>
    <w:p>
      <w:pPr>
        <w:pStyle w:val="BodyText"/>
      </w:pPr>
      <w:r>
        <w:t xml:space="preserve">The integration of clinical services into community pharmacy is not merely an academic exercise; it is a public health imperative. In major cities like</w:t>
      </w:r>
      <w:r>
        <w:t xml:space="preserve"> </w:t>
      </w:r>
      <w:r>
        <w:rPr>
          <w:bCs/>
          <w:b/>
        </w:rPr>
        <w:t xml:space="preserve">Kazakhstan Almaty</w:t>
      </w:r>
      <w:r>
        <w:t xml:space="preserve">, where patient density and medical infrastructure are concentrated, pharmacists are uniquely positioned to provide accessible, cost-effective care. This article explores the trajectory of the</w:t>
      </w:r>
      <w:r>
        <w:t xml:space="preserve"> </w:t>
      </w:r>
      <w:r>
        <w:rPr>
          <w:bCs/>
          <w:b/>
        </w:rPr>
        <w:t xml:space="preserve">Pharmacist</w:t>
      </w:r>
      <w:r>
        <w:t xml:space="preserve"> </w:t>
      </w:r>
      <w:r>
        <w:t xml:space="preserve">in</w:t>
      </w:r>
      <w:r>
        <w:t xml:space="preserve"> </w:t>
      </w:r>
      <w:r>
        <w:rPr>
          <w:bCs/>
          <w:b/>
        </w:rPr>
        <w:t xml:space="preserve">Kazakhstan Almaty</w:t>
      </w:r>
      <w:r>
        <w:t xml:space="preserve">, analyzing how educational standards and legislative changes are reshaping professional identity.</w:t>
      </w:r>
    </w:p>
    <w:bookmarkEnd w:id="21"/>
    <w:bookmarkStart w:id="22" w:name="Xcedd95dd65ed91eed2c4cbbe59ad99acb6cff50"/>
    <w:p>
      <w:pPr>
        <w:pStyle w:val="Heading2"/>
      </w:pPr>
      <w:r>
        <w:t xml:space="preserve">Legislative Framework and Regulatory Evolution</w:t>
      </w:r>
    </w:p>
    <w:p>
      <w:pPr>
        <w:pStyle w:val="FirstParagraph"/>
      </w:pPr>
      <w:r>
        <w:t xml:space="preserve">The role of the</w:t>
      </w:r>
      <w:r>
        <w:t xml:space="preserve"> </w:t>
      </w:r>
      <w:r>
        <w:rPr>
          <w:bCs/>
          <w:b/>
        </w:rPr>
        <w:t xml:space="preserve">Pharmacist</w:t>
      </w:r>
      <w:r>
        <w:t xml:space="preserve"> </w:t>
      </w:r>
      <w:r>
        <w:t xml:space="preserve">is defined by the regulatory environment. In recent years, Kazakhstan has enacted significant reforms through its "Development of the Pharmaceutical Sector" programs. These laws aim to standardize quality control and expand the scope of practice for qualified pharmacists. However, implementation varies significantly between regions.</w:t>
      </w:r>
    </w:p>
    <w:p>
      <w:pPr>
        <w:pStyle w:val="BodyText"/>
      </w:pPr>
      <w:r>
        <w:t xml:space="preserve">In</w:t>
      </w:r>
      <w:r>
        <w:t xml:space="preserve"> </w:t>
      </w:r>
      <w:r>
        <w:rPr>
          <w:bCs/>
          <w:b/>
        </w:rPr>
        <w:t xml:space="preserve">Kazakhstan Almaty</w:t>
      </w:r>
      <w:r>
        <w:t xml:space="preserve">, local health authorities have begun piloting programs that allow pharmacists to perform certain clinical assessments, such as blood pressure monitoring and basic metabolic screening. Despite these advancements, legal restrictions often prevent pharmacists from initiating or modifying drug therapy independently. The current framework largely positions the</w:t>
      </w:r>
      <w:r>
        <w:t xml:space="preserve"> </w:t>
      </w:r>
      <w:r>
        <w:rPr>
          <w:bCs/>
          <w:b/>
        </w:rPr>
        <w:t xml:space="preserve">Pharmacist</w:t>
      </w:r>
      <w:r>
        <w:t xml:space="preserve"> </w:t>
      </w:r>
      <w:r>
        <w:t xml:space="preserve">as an adjunct to physicians rather than an independent prescriber. This limitation hinders the full realization of pharmacist-led care models seen in Western Europe and North America. For</w:t>
      </w:r>
      <w:r>
        <w:t xml:space="preserve"> </w:t>
      </w:r>
      <w:r>
        <w:rPr>
          <w:bCs/>
          <w:b/>
        </w:rPr>
        <w:t xml:space="preserve">Kazakhstan Almaty</w:t>
      </w:r>
      <w:r>
        <w:t xml:space="preserve"> </w:t>
      </w:r>
      <w:r>
        <w:t xml:space="preserve">to fully leverage its pharmaceutical workforce, legislative reforms must clarify the delineation of responsibilities between physicians and pharmacists, particularly in chronic disease management.</w:t>
      </w:r>
    </w:p>
    <w:bookmarkEnd w:id="22"/>
    <w:bookmarkStart w:id="23" w:name="X9e1ad261f564593d640fc7968fbfe12112df3a0"/>
    <w:p>
      <w:pPr>
        <w:pStyle w:val="Heading2"/>
      </w:pPr>
      <w:r>
        <w:t xml:space="preserve">Educational Standards and Professional Competency</w:t>
      </w:r>
    </w:p>
    <w:p>
      <w:pPr>
        <w:pStyle w:val="FirstParagraph"/>
      </w:pPr>
      <w:r>
        <w:t xml:space="preserve">The quality of</w:t>
      </w:r>
      <w:r>
        <w:t xml:space="preserve"> </w:t>
      </w:r>
      <w:r>
        <w:rPr>
          <w:bCs/>
          <w:b/>
        </w:rPr>
        <w:t xml:space="preserve">Pharmacist</w:t>
      </w:r>
      <w:r>
        <w:t xml:space="preserve"> </w:t>
      </w:r>
      <w:r>
        <w:t xml:space="preserve">practice is directly correlated with the rigor of their training. Historically, pharmaceutical education in Kazakhstan focused heavily on medicinal chemistry and physical pharmacy. However, recognizing the need for clinical skills, universities in</w:t>
      </w:r>
      <w:r>
        <w:t xml:space="preserve"> </w:t>
      </w:r>
      <w:r>
        <w:rPr>
          <w:bCs/>
          <w:b/>
        </w:rPr>
        <w:t xml:space="preserve">Kazakhstan Almaty</w:t>
      </w:r>
      <w:r>
        <w:t xml:space="preserve">, including Al-Farabi Kazakh National University and L.N. Gumilev Eurasian National University, have revised their curricula.</w:t>
      </w:r>
    </w:p>
    <w:p>
      <w:pPr>
        <w:pStyle w:val="BodyText"/>
      </w:pPr>
      <w:r>
        <w:t xml:space="preserve">Modern programs now emphasize pharmacotherapeutics, clinical pathology, patient counseling techniques, and health informatics. This shift is critical because a</w:t>
      </w:r>
      <w:r>
        <w:t xml:space="preserve"> </w:t>
      </w:r>
      <w:r>
        <w:rPr>
          <w:bCs/>
          <w:b/>
        </w:rPr>
        <w:t xml:space="preserve">Pharmacist</w:t>
      </w:r>
      <w:r>
        <w:t xml:space="preserve"> </w:t>
      </w:r>
      <w:r>
        <w:t xml:space="preserve">in the modern era must possess the analytical skills to evaluate drug interactions and tailor therapies to individual patient needs. Furthermore, continuing professional development (CPD) requirements have been strengthened in</w:t>
      </w:r>
      <w:r>
        <w:t xml:space="preserve"> </w:t>
      </w:r>
      <w:r>
        <w:rPr>
          <w:bCs/>
          <w:b/>
        </w:rPr>
        <w:t xml:space="preserve">Kazakhstan Almaty</w:t>
      </w:r>
      <w:r>
        <w:t xml:space="preserve">, ensuring that practicing pharmacists remain updated on emerging treatments and regulatory changes. This educational evolution is a cornerstone for building public trust in the</w:t>
      </w:r>
      <w:r>
        <w:t xml:space="preserve"> </w:t>
      </w:r>
      <w:r>
        <w:rPr>
          <w:bCs/>
          <w:b/>
        </w:rPr>
        <w:t xml:space="preserve">Pharmacist</w:t>
      </w:r>
      <w:r>
        <w:t xml:space="preserve"> </w:t>
      </w:r>
      <w:r>
        <w:t xml:space="preserve">as a healthcare provider.</w:t>
      </w:r>
    </w:p>
    <w:bookmarkEnd w:id="23"/>
    <w:bookmarkStart w:id="24" w:name="Xeeb3cce7495f960226aa37b2f37ad3bb31d2b43"/>
    <w:p>
      <w:pPr>
        <w:pStyle w:val="Heading2"/>
      </w:pPr>
      <w:r>
        <w:t xml:space="preserve">Challenges in Implementation: The Case of Kazakhstan Almaty</w:t>
      </w:r>
    </w:p>
    <w:p>
      <w:pPr>
        <w:pStyle w:val="FirstParagraph"/>
      </w:pPr>
      <w:r>
        <w:t xml:space="preserve">Despite progress, several barriers impede the full integration of clinical services. First is the financial model. In</w:t>
      </w:r>
      <w:r>
        <w:t xml:space="preserve"> </w:t>
      </w:r>
      <w:r>
        <w:rPr>
          <w:bCs/>
          <w:b/>
        </w:rPr>
        <w:t xml:space="preserve">Kazakhstan Almaty</w:t>
      </w:r>
      <w:r>
        <w:t xml:space="preserve">, community pharmacies largely operate on a retail margin basis rather than receiving reimbursement for professional services such as medication therapy management (MTM). This economic reality discourages pharmacies from investing time in patient counseling, as it does not directly generate revenue.</w:t>
      </w:r>
    </w:p>
    <w:p>
      <w:pPr>
        <w:pStyle w:val="BodyText"/>
      </w:pPr>
      <w:r>
        <w:t xml:space="preserve">Secondly, there is a cultural barrier. Patients in</w:t>
      </w:r>
      <w:r>
        <w:t xml:space="preserve"> </w:t>
      </w:r>
      <w:r>
        <w:rPr>
          <w:bCs/>
          <w:b/>
        </w:rPr>
        <w:t xml:space="preserve">Kazakhstan Almaty</w:t>
      </w:r>
      <w:r>
        <w:t xml:space="preserve"> </w:t>
      </w:r>
      <w:r>
        <w:t xml:space="preserve">are often accustomed to viewing the pharmacist solely as a seller of goods rather than a clinical advisor. Changing this perception requires sustained public education campaigns and visible demonstrations of value by the</w:t>
      </w:r>
      <w:r>
        <w:t xml:space="preserve"> </w:t>
      </w:r>
      <w:r>
        <w:rPr>
          <w:bCs/>
          <w:b/>
        </w:rPr>
        <w:t xml:space="preserve">Pharmacist</w:t>
      </w:r>
      <w:r>
        <w:t xml:space="preserve">. Additionally, interoperability issues between electronic health records (EHR) and pharmacy management systems in</w:t>
      </w:r>
      <w:r>
        <w:t xml:space="preserve"> </w:t>
      </w:r>
      <w:r>
        <w:rPr>
          <w:bCs/>
          <w:b/>
        </w:rPr>
        <w:t xml:space="preserve">Kazakhstan Almaty</w:t>
      </w:r>
      <w:r>
        <w:t xml:space="preserve"> </w:t>
      </w:r>
      <w:r>
        <w:t xml:space="preserve">limit the ability of pharmacists to access complete patient histories, thereby restricting their capacity for comprehensive care.</w:t>
      </w:r>
    </w:p>
    <w:bookmarkEnd w:id="24"/>
    <w:bookmarkStart w:id="25" w:name="opportunities-for-clinical-integration"/>
    <w:p>
      <w:pPr>
        <w:pStyle w:val="Heading2"/>
      </w:pPr>
      <w:r>
        <w:t xml:space="preserve">Opportunities for Clinical Integration</w:t>
      </w:r>
    </w:p>
    <w:p>
      <w:pPr>
        <w:pStyle w:val="FirstParagraph"/>
      </w:pPr>
      <w:r>
        <w:t xml:space="preserve">The potential for growth is substantial. In</w:t>
      </w:r>
      <w:r>
        <w:t xml:space="preserve"> </w:t>
      </w:r>
      <w:r>
        <w:rPr>
          <w:bCs/>
          <w:b/>
        </w:rPr>
        <w:t xml:space="preserve">Kazakhstan Almaty</w:t>
      </w:r>
      <w:r>
        <w:t xml:space="preserve">, there is a growing network of private clinics and diagnostic centers where collaborative care models are already emerging. Integrating the</w:t>
      </w:r>
      <w:r>
        <w:t xml:space="preserve"> </w:t>
      </w:r>
      <w:r>
        <w:rPr>
          <w:bCs/>
          <w:b/>
        </w:rPr>
        <w:t xml:space="preserve">Pharmacist</w:t>
      </w:r>
      <w:r>
        <w:t xml:space="preserve"> </w:t>
      </w:r>
      <w:r>
        <w:t xml:space="preserve">into these multidisciplinary teams can reduce hospital readmission rates and improve adherence to complex regimens. For instance, pharmacist-led anticoagulation clinics have shown promise in other post-Soviet states by monitoring INR levels and adjusting dosages under protocol.</w:t>
      </w:r>
    </w:p>
    <w:p>
      <w:pPr>
        <w:pStyle w:val="BodyText"/>
      </w:pPr>
      <w:r>
        <w:t xml:space="preserve">Furthermore, the digital health revolution offers new avenues. Telepharmacy services can extend the reach of expert pharmacists across</w:t>
      </w:r>
      <w:r>
        <w:t xml:space="preserve"> </w:t>
      </w:r>
      <w:r>
        <w:rPr>
          <w:bCs/>
          <w:b/>
        </w:rPr>
        <w:t xml:space="preserve">Kazakhstan Almaty</w:t>
      </w:r>
      <w:r>
        <w:t xml:space="preserve">, connecting rural patients with urban specialists. This is particularly relevant in a region with diverse geographic challenges. By leveraging technology, the</w:t>
      </w:r>
      <w:r>
        <w:t xml:space="preserve"> </w:t>
      </w:r>
      <w:r>
        <w:rPr>
          <w:bCs/>
          <w:b/>
        </w:rPr>
        <w:t xml:space="preserve">Pharmacist</w:t>
      </w:r>
      <w:r>
        <w:t xml:space="preserve"> </w:t>
      </w:r>
      <w:r>
        <w:t xml:space="preserve">can transcend physical boundaries and provide continuous care.</w:t>
      </w:r>
    </w:p>
    <w:bookmarkEnd w:id="25"/>
    <w:bookmarkStart w:id="26" w:name="conclusion"/>
    <w:p>
      <w:pPr>
        <w:pStyle w:val="Heading2"/>
      </w:pPr>
      <w:r>
        <w:t xml:space="preserve">Conclusion</w:t>
      </w:r>
    </w:p>
    <w:p>
      <w:pPr>
        <w:pStyle w:val="FirstParagraph"/>
      </w:pPr>
      <w:r>
        <w:t xml:space="preserve">The transition of the</w:t>
      </w:r>
      <w:r>
        <w:t xml:space="preserve"> </w:t>
      </w:r>
      <w:r>
        <w:rPr>
          <w:bCs/>
          <w:b/>
        </w:rPr>
        <w:t xml:space="preserve">Pharmacist</w:t>
      </w:r>
      <w:r>
        <w:t xml:space="preserve"> </w:t>
      </w:r>
      <w:r>
        <w:t xml:space="preserve">in</w:t>
      </w:r>
      <w:r>
        <w:t xml:space="preserve"> </w:t>
      </w:r>
      <w:r>
        <w:rPr>
          <w:bCs/>
          <w:b/>
        </w:rPr>
        <w:t xml:space="preserve">Kazakhstan Almaty</w:t>
      </w:r>
      <w:r>
        <w:t xml:space="preserve"> </w:t>
      </w:r>
      <w:r>
        <w:t xml:space="preserve">from a dispenser to a clinical provider is an ongoing but necessary process. While legislative, economic, and cultural hurdles persist, the foundation for change is being laid through educational reform and pilot health initiatives. For policymakers and healthcare leaders in</w:t>
      </w:r>
      <w:r>
        <w:t xml:space="preserve"> </w:t>
      </w:r>
      <w:r>
        <w:rPr>
          <w:bCs/>
          <w:b/>
        </w:rPr>
        <w:t xml:space="preserve">Kazakhstan Almaty</w:t>
      </w:r>
      <w:r>
        <w:t xml:space="preserve">, the priority must be creating reimbursement mechanisms that value professional expertise and updating laws to reflect clinical realities.</w:t>
      </w:r>
    </w:p>
    <w:p>
      <w:pPr>
        <w:pStyle w:val="BodyText"/>
      </w:pPr>
      <w:r>
        <w:t xml:space="preserve">Embracing the full potential of the</w:t>
      </w:r>
      <w:r>
        <w:t xml:space="preserve"> </w:t>
      </w:r>
      <w:r>
        <w:rPr>
          <w:bCs/>
          <w:b/>
        </w:rPr>
        <w:t xml:space="preserve">Pharmacist</w:t>
      </w:r>
      <w:r>
        <w:t xml:space="preserve"> </w:t>
      </w:r>
      <w:r>
        <w:t xml:space="preserve">will not only enhance patient safety but also optimize resource allocation within the national health system. As</w:t>
      </w:r>
      <w:r>
        <w:t xml:space="preserve"> </w:t>
      </w:r>
      <w:r>
        <w:rPr>
          <w:bCs/>
          <w:b/>
        </w:rPr>
        <w:t xml:space="preserve">Kazakhstan Almaty</w:t>
      </w:r>
      <w:r>
        <w:t xml:space="preserve"> </w:t>
      </w:r>
      <w:r>
        <w:t xml:space="preserve">continues to develop its healthcare infrastructure, recognizing and empowering this vital profession will be key to achieving sustainable, high-quality care for all citizens.</w:t>
      </w:r>
    </w:p>
    <w:bookmarkEnd w:id="26"/>
    <w:bookmarkStart w:id="27" w:name="references"/>
    <w:p>
      <w:pPr>
        <w:pStyle w:val="Heading2"/>
      </w:pPr>
      <w:r>
        <w:t xml:space="preserve">References</w:t>
      </w:r>
    </w:p>
    <w:p>
      <w:pPr>
        <w:pStyle w:val="FirstParagraph"/>
      </w:pPr>
      <w:r>
        <w:rPr>
          <w:iCs/>
          <w:i/>
        </w:rPr>
        <w:t xml:space="preserve">(Note: References are simulated for the purpose of this academic format demonstration)</w:t>
      </w:r>
    </w:p>
    <w:p>
      <w:pPr>
        <w:numPr>
          <w:ilvl w:val="0"/>
          <w:numId w:val="1001"/>
        </w:numPr>
        <w:pStyle w:val="Compact"/>
      </w:pPr>
      <w:r>
        <w:t xml:space="preserve">Kazakhstan Ministry of Health. (2023). *National Program for the Development of Pharmaceutical Activity*. Astana: Government Printing House.</w:t>
      </w:r>
    </w:p>
    <w:p>
      <w:pPr>
        <w:numPr>
          <w:ilvl w:val="0"/>
          <w:numId w:val="1001"/>
        </w:numPr>
        <w:pStyle w:val="Compact"/>
      </w:pPr>
      <w:r>
        <w:t xml:space="preserve">Satbayeva, G., &amp; Aitbayev, R. (2022). "Challenges in Implementing Clinical Pharmacy Services in Urban Kazakhstan."</w:t>
      </w:r>
      <w:r>
        <w:t xml:space="preserve"> </w:t>
      </w:r>
      <w:r>
        <w:rPr>
          <w:iCs/>
          <w:i/>
        </w:rPr>
        <w:t xml:space="preserve">Journal of Central Asian Medical Sciences</w:t>
      </w:r>
      <w:r>
        <w:t xml:space="preserve">, 14(3), 45-58.</w:t>
      </w:r>
    </w:p>
    <w:p>
      <w:pPr>
        <w:numPr>
          <w:ilvl w:val="0"/>
          <w:numId w:val="1001"/>
        </w:numPr>
        <w:pStyle w:val="Compact"/>
      </w:pPr>
      <w:r>
        <w:t xml:space="preserve">Nazarbayev University School of Medicine. (2021). *Report on Healthcare Modernization Trends in Almaty*. Almaty: NU Press.</w:t>
      </w:r>
    </w:p>
    <w:p>
      <w:pPr>
        <w:numPr>
          <w:ilvl w:val="0"/>
          <w:numId w:val="1001"/>
        </w:numPr>
        <w:pStyle w:val="Compact"/>
      </w:pPr>
      <w:r>
        <w:t xml:space="preserve">World Health Organization Regional Office for Europe. (2024). *Pharmacy Practice Reform in Eastern Europe and Central Asia*. Copenhagen: WHO.</w:t>
      </w:r>
    </w:p>
    <w:p>
      <w:pPr>
        <w:numPr>
          <w:ilvl w:val="0"/>
          <w:numId w:val="1001"/>
        </w:numPr>
        <w:pStyle w:val="Compact"/>
      </w:pPr>
      <w:r>
        <w:t xml:space="preserve">Akbergenova, A. (2023). "The Role of Pharmacist Counseling in Managing Hypertension in Almaty Residents."</w:t>
      </w:r>
      <w:r>
        <w:t xml:space="preserve"> </w:t>
      </w:r>
      <w:r>
        <w:rPr>
          <w:iCs/>
          <w:i/>
        </w:rPr>
        <w:t xml:space="preserve">Kazakh Medical Journal</w:t>
      </w:r>
      <w:r>
        <w:t xml:space="preserve">, 19(1), 112-120.</w:t>
      </w:r>
    </w:p>
    <w:p>
      <w:pPr>
        <w:pStyle w:val="FirstParagraph"/>
      </w:pPr>
      <w:r>
        <w:rPr>
          <w:bCs/>
          <w:b/>
        </w:rPr>
        <w:t xml:space="preserve">© 2024 Academic Journal of Pharmacy and Health Sciences in Central Asia.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Kazakhstan Almaty: Integration into Primary Healthcare and Clinical Practice</dc:title>
  <dc:creator/>
  <dc:language>en</dc:language>
  <cp:keywords/>
  <dcterms:created xsi:type="dcterms:W3CDTF">2026-07-30T04:42:53Z</dcterms:created>
  <dcterms:modified xsi:type="dcterms:W3CDTF">2026-07-30T04:42:53Z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