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Clinical</w:t>
      </w:r>
      <w:r>
        <w:t xml:space="preserve"> </w:t>
      </w:r>
      <w:r>
        <w:t xml:space="preserve">Integration</w:t>
      </w:r>
      <w:r>
        <w:t xml:space="preserve"> </w:t>
      </w:r>
      <w:r>
        <w:t xml:space="preserve">and</w:t>
      </w:r>
      <w:r>
        <w:t xml:space="preserve"> </w:t>
      </w:r>
      <w:r>
        <w:t xml:space="preserve">Community</w:t>
      </w:r>
      <w:r>
        <w:t xml:space="preserve"> </w:t>
      </w:r>
      <w:r>
        <w:t xml:space="preserve">Health</w:t>
      </w:r>
      <w:r>
        <w:t xml:space="preserve"> </w:t>
      </w:r>
      <w:r>
        <w:t xml:space="preserve">Outcomes</w:t>
      </w:r>
    </w:p>
    <w:bookmarkStart w:id="28" w:name="Xb8c5aea9ea20227795921791ac6a324ec67bce7"/>
    <w:p>
      <w:pPr>
        <w:pStyle w:val="Heading1"/>
      </w:pPr>
      <w:r>
        <w:t xml:space="preserve">The Evolving Role of the Pharmacist in New Zealand Auckland: Clinical Integration and Community Health Outcomes</w:t>
      </w:r>
    </w:p>
    <w:p>
      <w:pPr>
        <w:pStyle w:val="FirstParagraph"/>
      </w:pPr>
      <w:r>
        <w:rPr>
          <w:bCs/>
          <w:b/>
        </w:rPr>
        <w:t xml:space="preserve">Author:</w:t>
      </w:r>
      <w:r>
        <w:t xml:space="preserve">J. Smith, PhD</w:t>
      </w:r>
      <w:r>
        <w:br/>
      </w:r>
      <w:r>
        <w:t xml:space="preserve">Auckland University of Technology, Faculty of Health and Environmental Sciences</w:t>
      </w:r>
      <w:r>
        <w:br/>
      </w:r>
      <w:r>
        <w:t xml:space="preserve">New Zealand Auckland</w:t>
      </w:r>
    </w:p>
    <w:bookmarkStart w:id="20" w:name="abstract"/>
    <w:p>
      <w:pPr>
        <w:pStyle w:val="Heading2"/>
      </w:pPr>
      <w:r>
        <w:t xml:space="preserve">Abstract</w:t>
      </w:r>
    </w:p>
    <w:p>
      <w:pPr>
        <w:pStyle w:val="FirstParagraph"/>
      </w:pPr>
      <w:r>
        <w:t xml:space="preserve">The landscape of pharmacy practice in New Zealand has undergone significant transformation over the past decade. This article examines the shifting paradigm from a traditional product-oriented dispensing model to a clinical, patient-centered service, with a specific focus on the unique demographic and healthcare challenges present in New Zealand Auckland. As an urban hub containing over one-third of the national population, Auckland serves as a microcosm for broader health system reforms. This paper analyzes the impact of new funding mechanisms by Pharmacists' Association (PharmAccess) and Pharmacy First initiatives on pharmacist autonomy, interprofessional collaboration, and public health outcomes. The discussion highlights the critical importance of adapting to diverse cultural needs within Auckland’s multicultural population while addressing urban-specific health disparities.</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Pharmacist</w:t>
      </w:r>
      <w:r>
        <w:t xml:space="preserve"> has historically been viewed through a logistical lens, focused primarily on the accurate dispensing of medications. However, global healthcare trends are increasingly moving toward value-based care models that prioritize clinical outcomes and preventative health measures. In</w:t>
      </w:r>
      <w:r>
        <w:t xml:space="preserve"> </w:t>
      </w:r>
      <w:r>
        <w:rPr>
          <w:bCs/>
          <w:b/>
        </w:rPr>
        <w:t xml:space="preserve">New Zealand Auckland</w:t>
      </w:r>
      <w:r>
        <w:t xml:space="preserve">, this shift is being accelerated by specific local health policies and demographic pressures. Auckland, as the largest city in New Zealand, faces unique challenges including high population density, significant socioeconomic disparity between neighborhoods (such as East versus West Auckland), and a diverse multicultural populace requiring culturally competent care.</w:t>
      </w:r>
    </w:p>
    <w:p>
      <w:pPr>
        <w:pStyle w:val="BodyText"/>
      </w:pPr>
      <w:r>
        <w:t xml:space="preserve">The integration of pharmacists into the broader primary healthcare team is no longer just an option but a necessity. This article explores how</w:t>
      </w:r>
      <w:r>
        <w:t xml:space="preserve"> </w:t>
      </w:r>
      <w:r>
        <w:rPr>
          <w:bCs/>
          <w:b/>
        </w:rPr>
        <w:t xml:space="preserve">Pharmacist</w:t>
      </w:r>
      <w:r>
        <w:t xml:space="preserve"> practitioners in New Zealand Auckland are adapting to these changes, leveraging new legislative frameworks to provide clinical services that alleviate pressure on general practitioners (GPs) and improve overall community health.</w:t>
      </w:r>
    </w:p>
    <w:bookmarkEnd w:id="21"/>
    <w:bookmarkStart w:id="22" w:name="X3b664bed1c0a8163876607a34049c176eadea30"/>
    <w:p>
      <w:pPr>
        <w:pStyle w:val="Heading2"/>
      </w:pPr>
      <w:r>
        <w:t xml:space="preserve">The Changing Scope of Practice for the Pharmacist</w:t>
      </w:r>
    </w:p>
    <w:p>
      <w:pPr>
        <w:pStyle w:val="FirstParagraph"/>
      </w:pPr>
      <w:r>
        <w:t xml:space="preserve">In recent years, the role of the</w:t>
      </w:r>
      <w:r>
        <w:t xml:space="preserve"> </w:t>
      </w:r>
      <w:r>
        <w:rPr>
          <w:bCs/>
          <w:b/>
        </w:rPr>
        <w:t xml:space="preserve">Pharmacist</w:t>
      </w:r>
      <w:r>
        <w:t xml:space="preserve"> in New Zealand has expanded significantly. Traditionally, community pharmacies operated on a fee-for-service dispensing model. Today, initiatives such as PharmAccess have allowed pharmacists to receive government funding for specific clinical services. These include chronic disease management reviews (CDMRs), medication adherence consultations, and targeted immunizations.</w:t>
      </w:r>
    </w:p>
    <w:p>
      <w:pPr>
        <w:pStyle w:val="BodyText"/>
      </w:pPr>
      <w:r>
        <w:t xml:space="preserve">In the context of</w:t>
      </w:r>
      <w:r>
        <w:t xml:space="preserve"> </w:t>
      </w:r>
      <w:r>
        <w:rPr>
          <w:bCs/>
          <w:b/>
        </w:rPr>
        <w:t xml:space="preserve">New Zealand Auckland</w:t>
      </w:r>
      <w:r>
        <w:t xml:space="preserve">, these changes are particularly pertinent. The city experiences high wait times for primary care appointments, leading many residents to utilize emergency departments for minor ailments. By empowering the</w:t>
      </w:r>
      <w:r>
        <w:t xml:space="preserve"> </w:t>
      </w:r>
      <w:r>
        <w:rPr>
          <w:bCs/>
          <w:b/>
        </w:rPr>
        <w:t xml:space="preserve">Pharmacist</w:t>
      </w:r>
      <w:r>
        <w:t xml:space="preserve"> to manage minor illnesses and optimize chronic disease medications, the healthcare system can redirect patient flow more efficiently. For instance, a</w:t>
      </w:r>
      <w:r>
        <w:t xml:space="preserve"> </w:t>
      </w:r>
      <w:r>
        <w:rPr>
          <w:bCs/>
          <w:b/>
        </w:rPr>
        <w:t xml:space="preserve">Pharmacist</w:t>
      </w:r>
      <w:r>
        <w:t xml:space="preserve"> in an Auckland suburb like Manukau or Albany can now conduct comprehensive medication reviews for patients with diabetes or hypertension, identifying non-adherence issues and prescribing adjustments in collaboration with GPs. This clinical autonomy marks a pivotal departure from the traditional retail pharmacy model.</w:t>
      </w:r>
    </w:p>
    <w:bookmarkEnd w:id="22"/>
    <w:bookmarkStart w:id="23" w:name="Xb27029b25ba497ad9efd9d3d317904664aee104"/>
    <w:p>
      <w:pPr>
        <w:pStyle w:val="Heading2"/>
      </w:pPr>
      <w:r>
        <w:t xml:space="preserve">Cultural Competency and the Multicultural Context of Auckland</w:t>
      </w:r>
    </w:p>
    <w:p>
      <w:pPr>
        <w:pStyle w:val="FirstParagraph"/>
      </w:pPr>
      <w:r>
        <w:t xml:space="preserve">Auckland is one of the most diverse cities in the world, with a substantial proportion of its population identifying as Māori, Pacific Islander, Asian, or other ethnicities. This diversity presents both opportunities and challenges for healthcare delivery. For the</w:t>
      </w:r>
      <w:r>
        <w:t xml:space="preserve"> </w:t>
      </w:r>
      <w:r>
        <w:rPr>
          <w:bCs/>
          <w:b/>
        </w:rPr>
        <w:t xml:space="preserve">Pharmacist</w:t>
      </w:r>
      <w:r>
        <w:t xml:space="preserve"> practicing in New Zealand Auckland, cultural competency is not merely a soft skill but a clinical imperative.</w:t>
      </w:r>
    </w:p>
    <w:p>
      <w:pPr>
        <w:pStyle w:val="BodyText"/>
      </w:pPr>
      <w:r>
        <w:t xml:space="preserve">Māori and Pacific populations in</w:t>
      </w:r>
      <w:r>
        <w:t xml:space="preserve"> </w:t>
      </w:r>
      <w:r>
        <w:rPr>
          <w:bCs/>
          <w:b/>
        </w:rPr>
        <w:t xml:space="preserve">New Zealand Auckland</w:t>
      </w:r>
      <w:r>
        <w:t xml:space="preserve"> experience disproportionately higher rates of chronic diseases such as type 2 diabetes, cardiovascular disease, and respiratory illnesses. Effective care requires more than just prescribing; it requires understanding cultural barriers to health, including stigma around certain conditions or dietary practices that may interact with medication efficacy. The modern</w:t>
      </w:r>
      <w:r>
        <w:t xml:space="preserve"> </w:t>
      </w:r>
      <w:r>
        <w:rPr>
          <w:bCs/>
          <w:b/>
        </w:rPr>
        <w:t xml:space="preserve">Pharmacist</w:t>
      </w:r>
      <w:r>
        <w:t xml:space="preserve"> must be equipped to navigate these complexities. This involves utilizing interpreter services effectively, understanding the principles of Te Tiriti o Waitangi (The Treaty of Waitangi) in healthcare delivery, and building trust within tight-knit community networks.</w:t>
      </w:r>
    </w:p>
    <w:p>
      <w:pPr>
        <w:pStyle w:val="BodyText"/>
      </w:pPr>
      <w:r>
        <w:t xml:space="preserve">Furthermore, linguistic diversity in Auckland necessitates that pharmacies provide resources and communication materials in multiple languages. The</w:t>
      </w:r>
      <w:r>
        <w:t xml:space="preserve"> </w:t>
      </w:r>
      <w:r>
        <w:rPr>
          <w:bCs/>
          <w:b/>
        </w:rPr>
        <w:t xml:space="preserve">Pharmacist</w:t>
      </w:r>
      <w:r>
        <w:t xml:space="preserve"> acts as a bridge between the formal medical system and communities that may have historically faced marginalization. By adopting a holistic approach that respects cultural identity, pharmacists can improve medication adherence and health literacy among vulnerable populations.</w:t>
      </w:r>
    </w:p>
    <w:bookmarkEnd w:id="23"/>
    <w:bookmarkStart w:id="24" w:name="X2f754e857bd667344eb986839a5a0cd5adef4c5"/>
    <w:p>
      <w:pPr>
        <w:pStyle w:val="Heading2"/>
      </w:pPr>
      <w:r>
        <w:t xml:space="preserve">Interprofessional Collaboration in an Urban Setting</w:t>
      </w:r>
    </w:p>
    <w:p>
      <w:pPr>
        <w:pStyle w:val="FirstParagraph"/>
      </w:pPr>
      <w:r>
        <w:t xml:space="preserve">The urban density of</w:t>
      </w:r>
      <w:r>
        <w:t xml:space="preserve"> </w:t>
      </w:r>
      <w:r>
        <w:rPr>
          <w:bCs/>
          <w:b/>
        </w:rPr>
        <w:t xml:space="preserve">New Zealand Auckland</w:t>
      </w:r>
      <w:r>
        <w:t xml:space="preserve"> facilitates closer proximity between pharmacies, GP clinics, hospitals, and specialist centers. This geographic closeness fosters interprofessional collaboration. The</w:t>
      </w:r>
      <w:r>
        <w:t xml:space="preserve"> </w:t>
      </w:r>
      <w:r>
        <w:rPr>
          <w:bCs/>
          <w:b/>
        </w:rPr>
        <w:t xml:space="preserve">Pharmacist</w:t>
      </w:r>
      <w:r>
        <w:t xml:space="preserve"> is increasingly acting as the most accessible healthcare professional for patients often seeking immediate advice before scheduling a doctor's appointment.</w:t>
      </w:r>
    </w:p>
    <w:p>
      <w:pPr>
        <w:pStyle w:val="BodyText"/>
      </w:pPr>
      <w:r>
        <w:t xml:space="preserve">Collaboration models are emerging where pharmacists share electronic health records securely with GPs, ensuring that medication changes made in the community are reflected in the patient’s overall care plan. In New Zealand Auckland, digital health initiatives have been accelerated by this need for connectivity. The</w:t>
      </w:r>
      <w:r>
        <w:t xml:space="preserve"> </w:t>
      </w:r>
      <w:r>
        <w:rPr>
          <w:bCs/>
          <w:b/>
        </w:rPr>
        <w:t xml:space="preserve">Pharmacist</w:t>
      </w:r>
      <w:r>
        <w:t xml:space="preserve"> is now a key node in this network, providing real-time data on medication therapy management and adverse drug reactions.</w:t>
      </w:r>
    </w:p>
    <w:p>
      <w:pPr>
        <w:pStyle w:val="BodyText"/>
      </w:pPr>
      <w:r>
        <w:t xml:space="preserve">This collaborative approach is vital for managing polypharmacy, particularly among the aging population in areas like Henderson or Devonport. Older adults often take multiple medications for various conditions. The</w:t>
      </w:r>
      <w:r>
        <w:t xml:space="preserve"> </w:t>
      </w:r>
      <w:r>
        <w:rPr>
          <w:bCs/>
          <w:b/>
        </w:rPr>
        <w:t xml:space="preserve">Pharmacist</w:t>
      </w:r>
      <w:r>
        <w:t xml:space="preserve"> plays a crucial role in deprescribing—identifying unnecessary medications that may pose risks of falls or cognitive decline—and coordinating with geriatricians and GPs to optimize regimens.</w:t>
      </w:r>
    </w:p>
    <w:bookmarkEnd w:id="24"/>
    <w:bookmarkStart w:id="25" w:name="challenges-and-future-directions"/>
    <w:p>
      <w:pPr>
        <w:pStyle w:val="Heading2"/>
      </w:pPr>
      <w:r>
        <w:t xml:space="preserve">Challenges and Future Directions</w:t>
      </w:r>
    </w:p>
    <w:p>
      <w:pPr>
        <w:pStyle w:val="FirstParagraph"/>
      </w:pPr>
      <w:r>
        <w:t xml:space="preserve">Despite the advancements, challenges remain for the</w:t>
      </w:r>
      <w:r>
        <w:t xml:space="preserve"> </w:t>
      </w:r>
      <w:r>
        <w:rPr>
          <w:bCs/>
          <w:b/>
        </w:rPr>
        <w:t xml:space="preserve">Pharmacist</w:t>
      </w:r>
      <w:r>
        <w:t xml:space="preserve"> in New Zealand Auckland. Funding models are still evolving, and there is ongoing debate regarding the sustainability of clinical services compared to retail margins. Additionally, burnout among pharmacy staff due to increased clinical responsibilities without adequate support resources is a concern.</w:t>
      </w:r>
    </w:p>
    <w:p>
      <w:pPr>
        <w:pStyle w:val="BodyText"/>
      </w:pPr>
      <w:r>
        <w:t xml:space="preserve">The urban environment of</w:t>
      </w:r>
      <w:r>
        <w:t xml:space="preserve"> </w:t>
      </w:r>
      <w:r>
        <w:rPr>
          <w:bCs/>
          <w:b/>
        </w:rPr>
        <w:t xml:space="preserve">New Zealand Auckland</w:t>
      </w:r>
      <w:r>
        <w:t xml:space="preserve"> also poses logistical challenges. High rents in central suburbs can limit the expansion of community pharmacies into health hubs. There is a need for strategic planning that supports pharmacy infrastructure as part of essential public health assets, similar to libraries or parks.</w:t>
      </w:r>
    </w:p>
    <w:p>
      <w:pPr>
        <w:pStyle w:val="BodyText"/>
      </w:pPr>
      <w:r>
        <w:t xml:space="preserve">Looking forward, the role of the</w:t>
      </w:r>
      <w:r>
        <w:t xml:space="preserve"> </w:t>
      </w:r>
      <w:r>
        <w:rPr>
          <w:bCs/>
          <w:b/>
        </w:rPr>
        <w:t xml:space="preserve">Pharmacist</w:t>
      </w:r>
      <w:r>
        <w:t xml:space="preserve"> will likely expand further into prescribing rights for minor conditions and expanded vaccination programs. Education will also play a key role; pharmacy curricula in New Zealand are being updated to include more clinical training, psychology, and communication skills tailored to diverse populations.</w:t>
      </w:r>
    </w:p>
    <w:bookmarkEnd w:id="25"/>
    <w:bookmarkStart w:id="26" w:name="conclusion"/>
    <w:p>
      <w:pPr>
        <w:pStyle w:val="Heading2"/>
      </w:pPr>
      <w:r>
        <w:t xml:space="preserve">Conclusion</w:t>
      </w:r>
    </w:p>
    <w:p>
      <w:pPr>
        <w:pStyle w:val="FirstParagraph"/>
      </w:pPr>
      <w:r>
        <w:t xml:space="preserve">The evolution of the</w:t>
      </w:r>
      <w:r>
        <w:t xml:space="preserve"> </w:t>
      </w:r>
      <w:r>
        <w:rPr>
          <w:bCs/>
          <w:b/>
        </w:rPr>
        <w:t xml:space="preserve">Pharmacist</w:t>
      </w:r>
      <w:r>
        <w:t xml:space="preserve"> profession in</w:t>
      </w:r>
      <w:r>
        <w:t xml:space="preserve"> </w:t>
      </w:r>
      <w:r>
        <w:rPr>
          <w:bCs/>
          <w:b/>
        </w:rPr>
        <w:t xml:space="preserve">New Zealand Auckland</w:t>
      </w:r>
      <w:r>
        <w:t xml:space="preserve"> represents a significant step toward a more integrated, equitable, and efficient healthcare system. By moving beyond dispensing to provide clinical, culturally sensitive care, pharmacists are addressing some of the most pressing health issues facing the city's diverse population. As funding models stabilize and interprofessional collaboration deepens, the</w:t>
      </w:r>
      <w:r>
        <w:t xml:space="preserve"> </w:t>
      </w:r>
      <w:r>
        <w:rPr>
          <w:bCs/>
          <w:b/>
        </w:rPr>
        <w:t xml:space="preserve">Pharmacist</w:t>
      </w:r>
      <w:r>
        <w:t xml:space="preserve"> will continue to emerge as an indispensable partner in maintaining and improving public health outcomes in New Zealand Auckland.</w:t>
      </w:r>
    </w:p>
    <w:bookmarkEnd w:id="26"/>
    <w:bookmarkStart w:id="27" w:name="references"/>
    <w:p>
      <w:pPr>
        <w:pStyle w:val="Heading2"/>
      </w:pPr>
      <w:r>
        <w:t xml:space="preserve">References</w:t>
      </w:r>
    </w:p>
    <w:p>
      <w:pPr>
        <w:pStyle w:val="FirstParagraph"/>
      </w:pPr>
      <w:r>
        <w:rPr>
          <w:iCs/>
          <w:i/>
        </w:rPr>
        <w:t xml:space="preserve">(Note: In a real academic submission, full citations following APA or Vancouver style would be provided here. The following are representative placeholders for the context of this document.)</w:t>
      </w:r>
    </w:p>
    <w:p>
      <w:pPr>
        <w:numPr>
          <w:ilvl w:val="0"/>
          <w:numId w:val="1001"/>
        </w:numPr>
        <w:pStyle w:val="Compact"/>
      </w:pPr>
      <w:r>
        <w:t xml:space="preserve">New Zealand Pharmacy Board. (2023).</w:t>
      </w:r>
      <w:r>
        <w:t xml:space="preserve"> </w:t>
      </w:r>
      <w:r>
        <w:rPr>
          <w:bCs/>
          <w:b/>
        </w:rPr>
        <w:t xml:space="preserve">Pharmacist</w:t>
      </w:r>
      <w:r>
        <w:t xml:space="preserve"> Standards and Guidelines for Practice in New Zealand.</w:t>
      </w:r>
    </w:p>
    <w:p>
      <w:pPr>
        <w:numPr>
          <w:ilvl w:val="0"/>
          <w:numId w:val="1001"/>
        </w:numPr>
        <w:pStyle w:val="Compact"/>
      </w:pPr>
      <w:r>
        <w:t xml:space="preserve">Auckland District Health Board. (2024). Annual Report on Primary Healthcare Integration in Urban Centers.</w:t>
      </w:r>
    </w:p>
    <w:p>
      <w:pPr>
        <w:numPr>
          <w:ilvl w:val="0"/>
          <w:numId w:val="1001"/>
        </w:numPr>
        <w:pStyle w:val="Compact"/>
      </w:pPr>
      <w:r>
        <w:t xml:space="preserve">Ministry of Health New Zealand. (2023). Population Health Trends: Disparities in East and West Auckland.</w:t>
      </w:r>
    </w:p>
    <w:p>
      <w:pPr>
        <w:numPr>
          <w:ilvl w:val="0"/>
          <w:numId w:val="1001"/>
        </w:numPr>
        <w:pStyle w:val="Compact"/>
      </w:pPr>
      <w:r>
        <w:t xml:space="preserve">Rural and Urban Pharmacy Review Committee. (2024). The Impact of PharmAccess on Clinical Service Delivery in Major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New Zealand Auckland: Clinical Integration and Community Health Outcomes</dc:title>
  <dc:creator/>
  <dc:language>en</dc:language>
  <cp:keywords/>
  <dcterms:created xsi:type="dcterms:W3CDTF">2026-07-29T15:16:03Z</dcterms:created>
  <dcterms:modified xsi:type="dcterms:W3CDTF">2026-07-29T15:16:03Z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