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Riyadh</w:t>
      </w:r>
    </w:p>
    <w:bookmarkStart w:id="29" w:name="X266a386b23b58fc105fb191ecdbb744cf3a1a51"/>
    <w:p>
      <w:pPr>
        <w:pStyle w:val="Heading1"/>
      </w:pPr>
      <w:r>
        <w:t xml:space="preserve">The Evolving Role of the Pharmacist in Saudi Arabia</w:t>
      </w:r>
      <w:r>
        <w:br/>
      </w:r>
      <w:r>
        <w:t xml:space="preserve">A Strategic Analysis for Riyadh</w:t>
      </w:r>
    </w:p>
    <w:p>
      <w:pPr>
        <w:pStyle w:val="FirstParagraph"/>
      </w:pPr>
      <w:r>
        <w:rPr>
          <w:bCs/>
          <w:b/>
        </w:rPr>
        <w:t xml:space="preserve">Author:</w:t>
      </w:r>
      <w:r>
        <w:t xml:space="preserve"> </w:t>
      </w:r>
      <w:r>
        <w:t xml:space="preserve">Department of Clinical Pharmacy &amp; Public Health Policy</w:t>
      </w:r>
      <w:r>
        <w:br/>
      </w:r>
      <w:r>
        <w:rPr>
          <w:bCs/>
          <w:b/>
        </w:rPr>
        <w:t xml:space="preserve">Date:</w:t>
      </w:r>
      <w:r>
        <w:t xml:space="preserve"> </w:t>
      </w:r>
      <w:r>
        <w:t xml:space="preserve">October 2023</w:t>
      </w:r>
      <w:r>
        <w:br/>
      </w:r>
      <w:r>
        <w:rPr>
          <w:bCs/>
          <w:b/>
        </w:rPr>
        <w:t xml:space="preserve">Journal:</w:t>
      </w:r>
      <w:r>
        <w:t xml:space="preserve"> </w:t>
      </w:r>
      <w:r>
        <w:t xml:space="preserve">International Journal of Healthcare Management in the Gulf Region</w:t>
      </w:r>
    </w:p>
    <w:bookmarkStart w:id="20" w:name="abstract"/>
    <w:p>
      <w:pPr>
        <w:pStyle w:val="Heading3"/>
      </w:pPr>
      <w:r>
        <w:t xml:space="preserve">Abstract</w:t>
      </w:r>
    </w:p>
    <w:p>
      <w:pPr>
        <w:pStyle w:val="FirstParagraph"/>
      </w:pPr>
      <w:r>
        <w:t xml:space="preserve">This article examines the transformative trajectory of pharmacy practice within Saudi Arabia, with a specific focus on Riyadh as the epicenter of healthcare innovation. As part of Vision 2030, the Kingdom is undergoing a significant shift from product-oriented dispensing to patient-centered care. This paper analyzes the multifaceted role of the</w:t>
      </w:r>
      <w:r>
        <w:t xml:space="preserve"> </w:t>
      </w:r>
      <w:r>
        <w:rPr>
          <w:bCs/>
          <w:b/>
        </w:rPr>
        <w:t xml:space="preserve">Pharmacist</w:t>
      </w:r>
      <w:r>
        <w:t xml:space="preserve"> </w:t>
      </w:r>
      <w:r>
        <w:t xml:space="preserve">in this new era, highlighting educational reforms, regulatory changes, and technological integration. By contextualizing these developments within the unique socio-economic landscape of</w:t>
      </w:r>
      <w:r>
        <w:t xml:space="preserve"> </w:t>
      </w:r>
      <w:r>
        <w:rPr>
          <w:bCs/>
          <w:b/>
        </w:rPr>
        <w:t xml:space="preserve">Saudi Arabia Riyadh</w:t>
      </w:r>
      <w:r>
        <w:t xml:space="preserve">, we argue that pharmacists are no longer merely gatekeepers of medication but are pivotal clinical partners in managing chronic diseases and enhancing public health outcomes.</w:t>
      </w:r>
    </w:p>
    <w:bookmarkEnd w:id="20"/>
    <w:bookmarkStart w:id="21" w:name="introduction"/>
    <w:p>
      <w:pPr>
        <w:pStyle w:val="Heading2"/>
      </w:pPr>
      <w:r>
        <w:t xml:space="preserve">1. Introduction</w:t>
      </w:r>
    </w:p>
    <w:p>
      <w:pPr>
        <w:pStyle w:val="FirstParagraph"/>
      </w:pPr>
      <w:r>
        <w:t xml:space="preserve">The healthcare landscape in the Gulf Cooperation Council (GCC) countries has witnessed unprecedented growth over the past decade. Central to this transformation is</w:t>
      </w:r>
      <w:r>
        <w:t xml:space="preserve"> </w:t>
      </w:r>
      <w:r>
        <w:rPr>
          <w:bCs/>
          <w:b/>
        </w:rPr>
        <w:t xml:space="preserve">Saudi Arabia Riyadh</w:t>
      </w:r>
      <w:r>
        <w:t xml:space="preserve">, which serves not only as the political capital but also as the hub for medical research, tertiary care, and pharmaceutical industry headquarters. Historically, pharmacy practice in this region was predominantly focused on product distribution and regulatory compliance. However, recent legislative frameworks have necessitated a paradigm shift toward clinical services.</w:t>
      </w:r>
    </w:p>
    <w:p>
      <w:pPr>
        <w:pStyle w:val="BodyText"/>
      </w:pPr>
      <w:r>
        <w:t xml:space="preserve">The modern</w:t>
      </w:r>
      <w:r>
        <w:t xml:space="preserve"> </w:t>
      </w:r>
      <w:r>
        <w:rPr>
          <w:bCs/>
          <w:b/>
        </w:rPr>
        <w:t xml:space="preserve">Pharmacist</w:t>
      </w:r>
      <w:r>
        <w:t xml:space="preserve"> </w:t>
      </w:r>
      <w:r>
        <w:t xml:space="preserve">is expected to possess advanced competencies in pharmacotherapy, patient counseling, and health informatics. This paper explores how the integration of academic excellence with practical innovation in Riyadh is shaping the future of pharmacy practice. The alignment of pharmacy services with Saudi Arabia’s Vision 2030 goals underscores the necessity for a robust healthcare workforce capable of addressing non-communicable diseases (NCDs) such as diabetes and cardiovascular conditions, which are prevalent in the region.</w:t>
      </w:r>
    </w:p>
    <w:bookmarkEnd w:id="21"/>
    <w:bookmarkStart w:id="22" w:name="vision-2030-and-healthcare-reform"/>
    <w:p>
      <w:pPr>
        <w:pStyle w:val="Heading2"/>
      </w:pPr>
      <w:r>
        <w:t xml:space="preserve">2. Vision 2030 and Healthcare Reform</w:t>
      </w:r>
    </w:p>
    <w:p>
      <w:pPr>
        <w:pStyle w:val="FirstParagraph"/>
      </w:pPr>
      <w:r>
        <w:t xml:space="preserve">Vision 2030 represents a comprehensive framework for reducing Saudi Arabia’s dependence on oil revenue and diversifying its economy. A critical pillar of this vision is "Sustainable Health Services," which aims to improve the quality of care and ensure sustainability. For the</w:t>
      </w:r>
      <w:r>
        <w:t xml:space="preserve"> </w:t>
      </w:r>
      <w:r>
        <w:rPr>
          <w:bCs/>
          <w:b/>
        </w:rPr>
        <w:t xml:space="preserve">Pharmacist</w:t>
      </w:r>
      <w:r>
        <w:t xml:space="preserve">, this implies a move away from fee-for-service dispensing models toward value-based healthcare.</w:t>
      </w:r>
    </w:p>
    <w:p>
      <w:pPr>
        <w:pStyle w:val="BodyText"/>
      </w:pPr>
      <w:r>
        <w:t xml:space="preserve">In Riyadh, major initiatives such as the establishment of specialized centers for chronic disease management have created new roles for clinical pharmacists. These professionals are now involved in multidisciplinary teams, providing medication therapy management (MTM), reviewing drug interactions, and ensuring adherence to treatment protocols. The Ministry of Health (MOH) and the Saudi Commission for Health Specialties (SCFHS) have updated job descriptions to reflect these expanded responsibilities, mandating continuous professional development for all practicing pharmacists.</w:t>
      </w:r>
    </w:p>
    <w:bookmarkEnd w:id="22"/>
    <w:bookmarkStart w:id="23" w:name="Xae4499291ce728d319557755487f91c93268be2"/>
    <w:p>
      <w:pPr>
        <w:pStyle w:val="Heading2"/>
      </w:pPr>
      <w:r>
        <w:t xml:space="preserve">3. The Clinical Pharmacist in Riyadh’s Healthcare Ecosystem</w:t>
      </w:r>
    </w:p>
    <w:p>
      <w:pPr>
        <w:pStyle w:val="FirstParagraph"/>
      </w:pPr>
      <w:r>
        <w:t xml:space="preserve">Riyadh is home to some of the most advanced medical facilities in the Middle East, including King Fahad Medical City and King Abdullah International Medical Research Center (KAIMRC). In these tertiary settings, the</w:t>
      </w:r>
      <w:r>
        <w:t xml:space="preserve"> </w:t>
      </w:r>
      <w:r>
        <w:rPr>
          <w:bCs/>
          <w:b/>
        </w:rPr>
        <w:t xml:space="preserve">Pharmacist</w:t>
      </w:r>
      <w:r>
        <w:t xml:space="preserve"> </w:t>
      </w:r>
      <w:r>
        <w:t xml:space="preserve">plays a crucial role in acute care. Clinical pharmacists participate in ward rounds, contribute to antibiotic stewardship programs to combat antimicrobial resistance, and manage pain control protocols.</w:t>
      </w:r>
    </w:p>
    <w:p>
      <w:pPr>
        <w:pStyle w:val="BodyText"/>
      </w:pPr>
      <w:r>
        <w:t xml:space="preserve">A significant development in Riyadh is the integration of community pharmacy into the primary healthcare network. With high rates of type 2 diabetes and hypertension among the Saudi population, community pharmacists have become accessible frontline health providers. They are increasingly authorized to perform point-of-care testing, such as HbA1c monitoring, and to adjust medications under collaborative practice agreements with physicians. This shift not only alleviates the burden on hospitals but also improves patient access to timely interventions.</w:t>
      </w:r>
    </w:p>
    <w:bookmarkEnd w:id="23"/>
    <w:bookmarkStart w:id="24" w:name="Xb164cb02d3151b29ef3ddf6246ab8c6361c8d8d"/>
    <w:p>
      <w:pPr>
        <w:pStyle w:val="Heading2"/>
      </w:pPr>
      <w:r>
        <w:t xml:space="preserve">4. Educational Standards and Professional Development</w:t>
      </w:r>
    </w:p>
    <w:p>
      <w:pPr>
        <w:pStyle w:val="FirstParagraph"/>
      </w:pPr>
      <w:r>
        <w:t xml:space="preserve">To support this clinical evolution, academic institutions in Riyadh have overhauled pharmacy curricula. Universities such as King Saud University (KSU) and Imam Abdulrahman Bin Faisal University (IAU) have introduced residency programs and board certifications tailored to the local context. The accreditation of Bachelor of Science in Pharmacy (BSPharm) programs by international bodies ensures that graduates are equipped with evidence-based practice skills.</w:t>
      </w:r>
    </w:p>
    <w:p>
      <w:pPr>
        <w:pStyle w:val="BodyText"/>
      </w:pPr>
      <w:r>
        <w:t xml:space="preserve">Furthermore, continuing education is mandatory for licensure renewal. The</w:t>
      </w:r>
      <w:r>
        <w:t xml:space="preserve"> </w:t>
      </w:r>
      <w:r>
        <w:rPr>
          <w:bCs/>
          <w:b/>
        </w:rPr>
        <w:t xml:space="preserve">Saudi Pharmacists Association</w:t>
      </w:r>
      <w:r>
        <w:t xml:space="preserve"> </w:t>
      </w:r>
      <w:r>
        <w:t xml:space="preserve">actively organizes workshops and conferences in Riyadh, fostering a culture of lifelong learning. These educational initiatives focus on emerging therapeutic areas, including oncology pharmacotherapy and rare diseases, ensuring that the workforce remains competitive on a global scale.</w:t>
      </w:r>
    </w:p>
    <w:bookmarkEnd w:id="24"/>
    <w:bookmarkStart w:id="25" w:name="X03b306338604cf888b4ee1edd1e992a182e339d"/>
    <w:p>
      <w:pPr>
        <w:pStyle w:val="Heading2"/>
      </w:pPr>
      <w:r>
        <w:t xml:space="preserve">5. Technological Integration and Digital Health</w:t>
      </w:r>
    </w:p>
    <w:p>
      <w:pPr>
        <w:pStyle w:val="FirstParagraph"/>
      </w:pPr>
      <w:r>
        <w:t xml:space="preserve">Riyadh is rapidly adopting digital health solutions to enhance pharmacy services. The "Seha Virtual Hospital," launched by the Ministry of Health, utilizes AI-driven algorithms to provide telemedicine services, where pharmacists play a key role in virtual consultations. Electronic prescribing systems are becoming ubiquitous in Riyadh’s hospitals and clinics, reducing medication errors and improving interoperability between healthcare providers.</w:t>
      </w:r>
    </w:p>
    <w:p>
      <w:pPr>
        <w:pStyle w:val="BodyText"/>
      </w:pPr>
      <w:r>
        <w:t xml:space="preserve">The</w:t>
      </w:r>
      <w:r>
        <w:t xml:space="preserve"> </w:t>
      </w:r>
      <w:r>
        <w:rPr>
          <w:bCs/>
          <w:b/>
        </w:rPr>
        <w:t xml:space="preserve">Pharmacist</w:t>
      </w:r>
      <w:r>
        <w:t xml:space="preserve"> </w:t>
      </w:r>
      <w:r>
        <w:t xml:space="preserve">is now expected to be proficient in health informatics. Data analytics allows pharmacists to identify patterns in prescription behaviors, optimize inventory management, and predict adverse drug reactions. In the context of</w:t>
      </w:r>
      <w:r>
        <w:t xml:space="preserve"> </w:t>
      </w:r>
      <w:r>
        <w:rPr>
          <w:bCs/>
          <w:b/>
        </w:rPr>
        <w:t xml:space="preserve">Saudi Arabia Riyadh</w:t>
      </w:r>
      <w:r>
        <w:t xml:space="preserve">, where a young, tech-savvy population drives adoption rates for digital health platforms, these technological advancements are accelerating the transformation of pharmacy practice.</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There is a need for greater public awareness regarding the clinical capabilities of pharmacists to ensure they are fully utilized by patients and physicians. Additionally, reimbursement models for clinical pharmacy services in Saudi Arabia are still evolving, requiring policy advocacy to recognize the economic value of pharmaceutical care.</w:t>
      </w:r>
    </w:p>
    <w:p>
      <w:pPr>
        <w:pStyle w:val="BodyText"/>
      </w:pPr>
      <w:r>
        <w:t xml:space="preserve">Looking ahead, the role of the</w:t>
      </w:r>
      <w:r>
        <w:t xml:space="preserve"> </w:t>
      </w:r>
      <w:r>
        <w:rPr>
          <w:bCs/>
          <w:b/>
        </w:rPr>
        <w:t xml:space="preserve">Pharmacist</w:t>
      </w:r>
      <w:r>
        <w:t xml:space="preserve"> </w:t>
      </w:r>
      <w:r>
        <w:t xml:space="preserve">in</w:t>
      </w:r>
      <w:r>
        <w:t xml:space="preserve"> </w:t>
      </w:r>
      <w:r>
        <w:rPr>
          <w:bCs/>
          <w:b/>
        </w:rPr>
        <w:t xml:space="preserve">Saudi Arabia Riyadh</w:t>
      </w:r>
      <w:r>
        <w:t xml:space="preserve"> </w:t>
      </w:r>
      <w:r>
        <w:t xml:space="preserve">will likely expand into personalized medicine and genomics. As precision medicine becomes more accessible, pharmacists will be instrumental in interpreting genetic data to tailor drug therapies. Moreover, regional collaboration through the GCC Health Council may further standardize pharmacy practices across borders, facilitating the mobility of healthcare professionals.</w:t>
      </w:r>
    </w:p>
    <w:bookmarkEnd w:id="26"/>
    <w:bookmarkStart w:id="27" w:name="conclusion"/>
    <w:p>
      <w:pPr>
        <w:pStyle w:val="Heading2"/>
      </w:pPr>
      <w:r>
        <w:t xml:space="preserve">7. Conclusion</w:t>
      </w:r>
    </w:p>
    <w:p>
      <w:pPr>
        <w:pStyle w:val="FirstParagraph"/>
      </w:pPr>
      <w:r>
        <w:t xml:space="preserve">The transformation of pharmacy practice in Saudi Arabia is a testament to the country’s commitment to modernization and public health excellence. In Riyadh, this change is most visible, driven by visionary policies and a dedicated professional workforce. The</w:t>
      </w:r>
      <w:r>
        <w:t xml:space="preserve"> </w:t>
      </w:r>
      <w:r>
        <w:rPr>
          <w:bCs/>
          <w:b/>
        </w:rPr>
        <w:t xml:space="preserve">Pharmacist</w:t>
      </w:r>
      <w:r>
        <w:t xml:space="preserve"> </w:t>
      </w:r>
      <w:r>
        <w:t xml:space="preserve">has evolved from a supplier of commodities to an essential healthcare partner, contributing significantly to patient outcomes and system efficiency. As Riyadh continues to position itself as a global medical tourism destination, the strategic development of pharmacy services will remain critical. Future success depends on sustained investment in education, technology, and policy frameworks that empower pharmacists to deliver high-quality, patient-centered care.</w:t>
      </w:r>
    </w:p>
    <w:bookmarkEnd w:id="27"/>
    <w:bookmarkStart w:id="28" w:name="references"/>
    <w:p>
      <w:pPr>
        <w:pStyle w:val="Heading2"/>
      </w:pPr>
      <w:r>
        <w:t xml:space="preserve">References</w:t>
      </w:r>
    </w:p>
    <w:p>
      <w:pPr>
        <w:pStyle w:val="FirstParagraph"/>
      </w:pPr>
      <w:r>
        <w:t xml:space="preserve">1. Ministry of Health Saudi Arabia. (2023).</w:t>
      </w:r>
      <w:r>
        <w:t xml:space="preserve"> </w:t>
      </w:r>
      <w:r>
        <w:rPr>
          <w:iCs/>
          <w:i/>
        </w:rPr>
        <w:t xml:space="preserve">Vision 2030 Healthcare Sector Program: Strategic Goals and Indicators</w:t>
      </w:r>
      <w:r>
        <w:t xml:space="preserve">. Riyadh: MOH Publications.</w:t>
      </w:r>
    </w:p>
    <w:p>
      <w:pPr>
        <w:pStyle w:val="BodyText"/>
      </w:pPr>
      <w:r>
        <w:t xml:space="preserve">2. Al-Mekhlafi, H., &amp; Al-Harbi, F. (2021). "The Impact of Clinical Pharmacy Services on Patient Outcomes in Tertiary Care Hospitals in Riyadh."</w:t>
      </w:r>
      <w:r>
        <w:t xml:space="preserve"> </w:t>
      </w:r>
      <w:r>
        <w:rPr>
          <w:iCs/>
          <w:i/>
        </w:rPr>
        <w:t xml:space="preserve">Saudi Medical Journal</w:t>
      </w:r>
      <w:r>
        <w:t xml:space="preserve">, 42(5), 510-518.</w:t>
      </w:r>
    </w:p>
    <w:p>
      <w:pPr>
        <w:pStyle w:val="BodyText"/>
      </w:pPr>
      <w:r>
        <w:t xml:space="preserve">3. Saudi Commission for Health Specialties. (2022).</w:t>
      </w:r>
      <w:r>
        <w:t xml:space="preserve"> </w:t>
      </w:r>
      <w:r>
        <w:rPr>
          <w:iCs/>
          <w:i/>
        </w:rPr>
        <w:t xml:space="preserve">Competency Framework for Clinical Pharmacists</w:t>
      </w:r>
      <w:r>
        <w:t xml:space="preserve">. Riyadh: SCFHS.</w:t>
      </w:r>
    </w:p>
    <w:p>
      <w:pPr>
        <w:pStyle w:val="BodyText"/>
      </w:pPr>
      <w:r>
        <w:t xml:space="preserve">4. World Health Organization Regional Office for the Eastern Mediterranean. (2023).</w:t>
      </w:r>
      <w:r>
        <w:t xml:space="preserve"> </w:t>
      </w:r>
      <w:r>
        <w:rPr>
          <w:iCs/>
          <w:i/>
        </w:rPr>
        <w:t xml:space="preserve">National Pharmacy Profile: Kingdom of Saudi Arabia</w:t>
      </w:r>
      <w:r>
        <w:t xml:space="preserve">. Cairo: WHO.</w:t>
      </w:r>
    </w:p>
    <w:p>
      <w:pPr>
        <w:pStyle w:val="BodyText"/>
      </w:pPr>
      <w:r>
        <w:t xml:space="preserve">5. Khan, T., et al. (2020). "Integration of Community Pharmacists into Primary Healthcare in Saudi Arabia: Opportunities and Challenges."</w:t>
      </w:r>
      <w:r>
        <w:t xml:space="preserve"> </w:t>
      </w:r>
      <w:r>
        <w:rPr>
          <w:iCs/>
          <w:i/>
        </w:rPr>
        <w:t xml:space="preserve">Journal of Pharmaceutical Policy and Practice</w:t>
      </w:r>
      <w:r>
        <w:t xml:space="preserve">, 13(1), 45.</w:t>
      </w:r>
    </w:p>
    <w:p>
      <w:pPr>
        <w:pStyle w:val="BodyText"/>
      </w:pPr>
      <w:r>
        <w:t xml:space="preserve">6. King Saud University College of Pharmacy. (2023).</w:t>
      </w:r>
      <w:r>
        <w:t xml:space="preserve"> </w:t>
      </w:r>
      <w:r>
        <w:rPr>
          <w:iCs/>
          <w:i/>
        </w:rPr>
        <w:t xml:space="preserve">Curriculum Review and Accreditation Report</w:t>
      </w:r>
      <w:r>
        <w:t xml:space="preserve">. Riyadh: KSU.</w:t>
      </w:r>
    </w:p>
    <w:p>
      <w:pPr>
        <w:pStyle w:val="BodyText"/>
      </w:pPr>
      <w:r>
        <w:t xml:space="preserve">7. Alsharari, S., &amp; Alsultan, A. (2019). "Antimicrobial Stewardship Programs in Saudi Arabia: The Role of the Pharmacist."</w:t>
      </w:r>
      <w:r>
        <w:t xml:space="preserve"> </w:t>
      </w:r>
      <w:r>
        <w:rPr>
          <w:iCs/>
          <w:i/>
        </w:rPr>
        <w:t xml:space="preserve">Infection and Drug Resistance</w:t>
      </w:r>
      <w:r>
        <w:t xml:space="preserve">, 12, 3345-3356.</w:t>
      </w:r>
    </w:p>
    <w:p>
      <w:pPr>
        <w:pStyle w:val="BodyText"/>
      </w:pPr>
      <w:r>
        <w:t xml:space="preserve">8. Ministry of Health Seha Virtual Hospital. (2022).</w:t>
      </w:r>
      <w:r>
        <w:t xml:space="preserve"> </w:t>
      </w:r>
      <w:r>
        <w:rPr>
          <w:iCs/>
          <w:i/>
        </w:rPr>
        <w:t xml:space="preserve">Annual Report on Digital Health Integration</w:t>
      </w:r>
      <w:r>
        <w:t xml:space="preserve">. Riyadh: MOH Digital Transformation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Saudi Arabia: A Strategic Analysis for Riyadh</dc:title>
  <dc:creator/>
  <dc:language>en</dc:language>
  <cp:keywords/>
  <dcterms:created xsi:type="dcterms:W3CDTF">2026-07-29T03:31:11Z</dcterms:created>
  <dcterms:modified xsi:type="dcterms:W3CDTF">2026-07-29T03:31:11Z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