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China:</w:t>
      </w:r>
      <w:r>
        <w:t xml:space="preserve"> </w:t>
      </w:r>
      <w:r>
        <w:t xml:space="preserve">A</w:t>
      </w:r>
      <w:r>
        <w:t xml:space="preserve"> </w:t>
      </w:r>
      <w:r>
        <w:t xml:space="preserve">Case</w:t>
      </w:r>
      <w:r>
        <w:t xml:space="preserve"> </w:t>
      </w:r>
      <w:r>
        <w:t xml:space="preserve">Study</w:t>
      </w:r>
      <w:r>
        <w:t xml:space="preserve"> </w:t>
      </w:r>
      <w:r>
        <w:t xml:space="preserve">of</w:t>
      </w:r>
      <w:r>
        <w:t xml:space="preserve"> </w:t>
      </w:r>
      <w:r>
        <w:t xml:space="preserve">Guangzhou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and Impact of the Physicist in Contemporary China: A Case Study of Guangzhou</dc:title>
  <dc:creator/>
  <dc:language>en</dc:language>
  <cp:keywords/>
  <dcterms:created xsi:type="dcterms:W3CDTF">2026-09-25T19:14:23Z</dcterms:created>
  <dcterms:modified xsi:type="dcterms:W3CDTF">2026-09-25T19:14:23Z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