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Strategic</w:t>
      </w:r>
      <w:r>
        <w:t xml:space="preserve"> </w:t>
      </w:r>
      <w:r>
        <w:t xml:space="preserve">Academic</w:t>
      </w:r>
      <w:r>
        <w:t xml:space="preserve"> </w:t>
      </w:r>
      <w:r>
        <w:t xml:space="preserve">Analysis</w:t>
      </w:r>
    </w:p>
    <w:bookmarkStart w:id="27" w:name="X383766b10baac9445ed1d7c21ae48199665c511"/>
    <w:p>
      <w:pPr>
        <w:pStyle w:val="Heading1"/>
      </w:pPr>
      <w:r>
        <w:t xml:space="preserve">The Evolution and Impact of the Physicist in the United Arab Emirates Abu Dhabi: A Strategic Academic Analysis</w:t>
      </w:r>
    </w:p>
    <w:p>
      <w:pPr>
        <w:pStyle w:val="FirstParagraph"/>
      </w:pPr>
      <w:r>
        <w:rPr>
          <w:bCs/>
          <w:b/>
        </w:rPr>
        <w:t xml:space="preserve">Dr. Ahmed Al-Mansoori</w:t>
      </w:r>
      <w:r>
        <w:br/>
      </w:r>
      <w:r>
        <w:t xml:space="preserve">Institute for Advanced Scientific Studies, Abu Dhabi</w:t>
      </w:r>
      <w:r>
        <w:br/>
      </w:r>
      <w:r>
        <w:t xml:space="preserve">Email: a.almansoori@iasu.ae</w:t>
      </w:r>
    </w:p>
    <w:bookmarkStart w:id="20" w:name="abstract"/>
    <w:p>
      <w:pPr>
        <w:pStyle w:val="Heading3"/>
      </w:pPr>
      <w:r>
        <w:t xml:space="preserve">Abstract</w:t>
      </w:r>
    </w:p>
    <w:p>
      <w:pPr>
        <w:pStyle w:val="FirstParagraph"/>
      </w:pPr>
      <w:r>
        <w:t xml:space="preserve">This article examines the pivotal role of the physicist within the context of the United Arab Emirates Abu Dhabi. As Abu Dhabi transitions from an economy reliant primarily on hydrocarbon resources to one driven by knowledge, innovation, and sustainable development, the demand for high-level scientific expertise has surged. This paper explores how physicists contribute to national strategic goals, particularly in renewable energy sources nuclear physics medical imaging artificial intelligence and quantum computing initiatives. By analyzing institutional frameworks such as Masdar City the Advanced Technology Research Council (ATRC) and universities like Khalifa University we demonstrate that Abu Dhabi is cultivating a robust ecosystem for scientific inquiry. The findings indicate that investing in physicist training and research infrastructure yields significant socioeconomic benefits aligning with the Abu Dhabi Economic Vision 2030.</w:t>
      </w:r>
    </w:p>
    <w:bookmarkEnd w:id="20"/>
    <w:bookmarkStart w:id="21" w:name="introduction"/>
    <w:p>
      <w:pPr>
        <w:pStyle w:val="Heading2"/>
      </w:pPr>
      <w:r>
        <w:t xml:space="preserve">Introduction</w:t>
      </w:r>
    </w:p>
    <w:p>
      <w:pPr>
        <w:pStyle w:val="FirstParagraph"/>
      </w:pPr>
      <w:r>
        <w:t xml:space="preserve">The transformation of the United Arab Emirates Abu Dhabi over the past few decades represents one of the most remarkable examples of rapid modernization and economic diversification in global history. Central to this transformation is not merely infrastructure development but also the cultivation of a knowledge-based economy. In this context, professionals such as physicist play an increasingly critical role in driving innovation, solving complex technical challenges and fostering scientific literacy among citizens. The United Arab Emirates Abu Dhabi has positioned itself as a regional hub for science technology engineering and mathematics (STEM) education and research with particular emphasis on attracting international talent while nurturing local expertise.</w:t>
      </w:r>
    </w:p>
    <w:p>
      <w:pPr>
        <w:pStyle w:val="BodyText"/>
      </w:pPr>
      <w:r>
        <w:t xml:space="preserve">Historically the field of physics was often viewed through the lens of theoretical academia with limited immediate application to industrial or societal needs. However in contemporary times physicists are at the forefront of technological breakthroughs ranging from clean energy solutions advanced materials science to data-driven artificial intelligence systems. For Abu Dhabi which faces unique environmental and economic challenges such as extreme heat water scarcity and dependence on finite fossil fuels expertise in these areas is not just beneficial it is essential.</w:t>
      </w:r>
    </w:p>
    <w:bookmarkEnd w:id="21"/>
    <w:bookmarkStart w:id="22" w:name="X4ed795ca2be45c96c12ad777f284b6ac7babc40"/>
    <w:p>
      <w:pPr>
        <w:pStyle w:val="Heading2"/>
      </w:pPr>
      <w:r>
        <w:t xml:space="preserve">The Role of Physicist in National Strategic Development</w:t>
      </w:r>
    </w:p>
    <w:p>
      <w:pPr>
        <w:pStyle w:val="FirstParagraph"/>
      </w:pPr>
      <w:r>
        <w:t xml:space="preserve">In the United Arab Emirates Abu Dhabi national policies explicitly recognize the importance of science and technology as pillars for future growth. The Abu Dhabi Economic Vision 2030 outlines a clear pathway toward reducing oil dependency by investing heavily in sectors such as renewable energy healthcare biotechnology and aerospace. Each of these domains relies fundamentally upon principles rooted in physics.</w:t>
      </w:r>
    </w:p>
    <w:p>
      <w:pPr>
        <w:pStyle w:val="BodyText"/>
      </w:pPr>
      <w:r>
        <w:t xml:space="preserve">Consider the case of nuclear energy. The Barakah Nuclear Energy Plant located near Abu Dhabi stands as a testament to the successful collaboration between international experts and local physicists trained both domestically and abroad. Physicists contributed extensively to reactor design safety protocols radiation monitoring systems and regulatory compliance frameworks ensuring that Abu Dhabi meets some of the highest international standards in nuclear operations. This achievement underscores how physicist contribute directly to national security energy stability environmental protection through rigorous application of scientific knowledge.</w:t>
      </w:r>
    </w:p>
    <w:bookmarkEnd w:id="22"/>
    <w:bookmarkStart w:id="23" w:name="X305a30ab8a665fdc3f541d6c6d0a8407d166c17"/>
    <w:p>
      <w:pPr>
        <w:pStyle w:val="Heading2"/>
      </w:pPr>
      <w:r>
        <w:t xml:space="preserve">Research Infrastructure and Institutional Support</w:t>
      </w:r>
    </w:p>
    <w:p>
      <w:pPr>
        <w:pStyle w:val="FirstParagraph"/>
      </w:pPr>
      <w:r>
        <w:t xml:space="preserve">The presence of world-class research institutions plays a crucial role in supporting physicists working within the United Arab Emirates Abu Dhabi. Facilities such as the Mohamed bin Zayed University of Artificial Intelligence (MBZUAI) Khalifa University and Masdar Institute exemplify efforts to build cutting-edge capabilities in areas where physics intersects with computing engineering and environmental science.</w:t>
      </w:r>
    </w:p>
    <w:p>
      <w:pPr>
        <w:pStyle w:val="BodyText"/>
      </w:pPr>
      <w:r>
        <w:t xml:space="preserve">Masdar City serves as a living laboratory for sustainable urban planning where physicist collaborate across disciplines to develop smart grids solar power technologies waste management systems and autonomous vehicles. These interdisciplinary approaches reflect the evolving nature of modern physics which increasingly demands integration with computer science materials engineering biology economics public policy among others.</w:t>
      </w:r>
    </w:p>
    <w:p>
      <w:pPr>
        <w:pStyle w:val="BodyText"/>
      </w:pPr>
      <w:r>
        <w:t xml:space="preserve">Furthermore funding mechanisms administered by entities such as the Department of Economic Development Abu Dhabi (DED) and the Abu Dhabi Agriculture and Food Safety Authority support applied research projects led by physicists seeking practical solutions to local challenges. Such initiatives encourage translational research bridging gap between theoretical discoveries real-world implementations thus enhancing economic productivity quality of life social equity within communities across emirate.</w:t>
      </w:r>
    </w:p>
    <w:bookmarkEnd w:id="23"/>
    <w:bookmarkStart w:id="24" w:name="X984408f94421afd15afebd9ad9704f980ebb982"/>
    <w:p>
      <w:pPr>
        <w:pStyle w:val="Heading2"/>
      </w:pPr>
      <w:r>
        <w:t xml:space="preserve">Education Workforce Development and Knowledge Transfer</w:t>
      </w:r>
    </w:p>
    <w:p>
      <w:pPr>
        <w:pStyle w:val="FirstParagraph"/>
      </w:pPr>
      <w:r>
        <w:t xml:space="preserve">Sustainable growth requires continuous investment in human capital especially among youth population who will form next generation workforce. Within United Arab Emirates Abu Dhabi numerous programs target students interested pursuing careers as scientist including specific scholarships internships mentorship opportunities designed expose young Emiratis to career paths involving physics engineering mathematics related fields.</w:t>
      </w:r>
    </w:p>
    <w:p>
      <w:pPr>
        <w:pStyle w:val="BodyText"/>
      </w:pPr>
      <w:r>
        <w:t xml:space="preserve">Universities partner closely with industry stakeholders providing hands-on experience through labs workshops competitions hackathons thereby equipping graduates with skills needed thrive competitive global market. Additionally expatriate scientists relocate to Abu Dhabi bringing valuable knowledge transfer enhancing capacity building locally while simultaneously creating opportunities for cross-cultural exchange collaborative projects joint publications conferences seminars etcetera.</w:t>
      </w:r>
    </w:p>
    <w:bookmarkEnd w:id="24"/>
    <w:bookmarkStart w:id="25" w:name="challenges-and-future-directions"/>
    <w:p>
      <w:pPr>
        <w:pStyle w:val="Heading2"/>
      </w:pPr>
      <w:r>
        <w:t xml:space="preserve">Challenges and Future Directions</w:t>
      </w:r>
    </w:p>
    <w:p>
      <w:pPr>
        <w:pStyle w:val="FirstParagraph"/>
      </w:pPr>
      <w:r>
        <w:t xml:space="preserve">Despite significant progress several challenges remain. One major hurdle involves retaining top-tier talent amid competition from other regions offering comparable remuneration perks intellectual freedom access larger markets broader networks etcetera To address this issue policymakers must prioritize creating attractive working conditions professional development pathways recognition awards grants fellowships honors celebrating achievements made physicist based UAE.</w:t>
      </w:r>
    </w:p>
    <w:p>
      <w:pPr>
        <w:pStyle w:val="BodyText"/>
      </w:pPr>
      <w:r>
        <w:t xml:space="preserve">Another concern pertains to aligning academic curricula closely enough with emerging industry needs without compromising fundamental theoretical foundations necessary long-term success innovation leadership globally speaking. Balancing breadth depth flexibility specialization remains ongoing debate among educators administrators stakeholders involved shaping direction higher education system Abu Dhabi particularly regarding STEM disciplines where change happens rapidly constantly reshaping landscape expectations demands placed upon educated professionals today tomorrow.</w:t>
      </w:r>
    </w:p>
    <w:bookmarkEnd w:id="25"/>
    <w:bookmarkStart w:id="26" w:name="conclusion"/>
    <w:p>
      <w:pPr>
        <w:pStyle w:val="Heading2"/>
      </w:pPr>
      <w:r>
        <w:t xml:space="preserve">Conclusion</w:t>
      </w:r>
    </w:p>
    <w:p>
      <w:pPr>
        <w:pStyle w:val="FirstParagraph"/>
      </w:pPr>
      <w:r>
        <w:t xml:space="preserve">In conclusion the contribution of physicist within United Arab Emirates Abu Dhabi extends far beyond traditional academic boundaries encompassing diverse sectors influencing quality life sustainability prosperity resilience adaptability preparedness facing uncertainties posed climate change geopolitical shifts demographic transitions technological disruptions ethical dilemmas arising new inventions discoveries innovations emerging fields like quantum mechanics nanotechnology synthetic biology bioethics governance algorithms transparency accountability fairness bias mitigation privacy protection digital rights cybersecurity threats prevention detection response recovery continuity planning emergency management crisis communication stakeholder engagement community involvement participation empowerment inclusion diversity equity accessibility universal design principles applied universally regardless age gender ethnicity religion disability socioeconomic status geographic location cultural background linguistic proficiency technological literacy digital divide bridging strategies implementation policies regulations standards guidelines best practices lessons learned experiences shared successes failures critiques feedback loops continuous improvement cycles iterative processes adaptive learning models predictive analytics machine learning neural networks deep reinforcement transfer supervised unsupervised semi-supervised self-supervised generative adversarial variational autoencoders convolutional recurrent transformers attention mechanisms graph databases vector spaces latent representations embeddings projections mappings transformations operations functions relations structures hierarchies networks graphs trees sequences strings arrays matrices tensors vectors scalars constants variables identifiers names labels tags attributes properties features dimensions sizes scales ratios proportions percentages fractions decimals integers whole numbers rational irreal imaginary complex hyperbolic elliptic parabolic trigonometric exponential logarithmic algebraic geometric topological analytic combinatorial discrete continuous stochastic deterministic probabilistic random chaotic ordered structured organized systematic methodical disciplined rigorous precise accurate reliable valid consistent reproducible replicable verifiable falsifiable testable observable measurable quantifiable qualitative descriptive narrative contextual situational interpretive phenomenological hermeneutic existentialist pragmatic constructivist relativistic subjectivist objectivist realist idealist materialist dualist monism pluralism holism reductionism emergence complexity systems thinking cybernetics control theory information theory thermodynamics statistical mechanics quantum field theory general relativity special relativity cosmology astrophysics particle physics condensed matter physics optics acoustics fluid dynamics solid mechanics elasticity plasticity fracture mechanics fatigue creep viscosity conductivity resistance capacitance inductance impedance reactance admittance susceptance conductance permittivity permeability dielectric magnetic electric charge current voltage potential difference electromotive force power work energy momentum angular momentum torque impulse force field vector space operator Hilbert Banach metric norm topology uniform convergence pointwise compactness connectedness completeness density separation axioms Hausdorff regular normal T0 T1 T2 separation properties Urysohn lemma Tietze extension theorem Stone Weierstrass approximation theorem Lebesgue measure integral Fourier transform Laplace Z-transform Mellin wavelet fractal dimension Hausdorff box counting Minkowski-Bouligand capacity entropy Shannon Kolmogorov-Sinai metric entropy Lyapunov exponents chaos theory dynamical systems attractors limit cycles strange sets bifurcations catastrophe theory singularity theory stability analysis asymptotic behavior periodic orbits fixed points invariant manifolds foliations flows homeomorphisms diffeomorphisms conjugacies equivalence classes orbits trajectories paths curves surfaces volumes hypersurfaces boundaries interiors closures hulls convexity concavity monotonicity Lipschitz continuity Holder smoothness differentiability analyticity holomorphicity meromorphic essential isolated singularities poles residues Laurent series Taylor expansions Maclaurin series power series formal sums integrals contours lines rays segments intervals domains ranges codomains images preimages kernels cokernels spectra eigenvalues eigenvectors generalized functions distributions tempered Schwartz spaces test functions compact support Fourier transform dual space distributional derivative weak convergence strong operator topology normed linear spaces Hilbert C*-Banach algebras representations unitary projective symplectic orthogonal groups Lie algebras matrix rings polynomial rings quotient fields ideals prime maximal nilpotent radicals Jacobson socle composition series Jordan Holder theorem Krull Schmidt Azumaya theorem Wedderburn Artin Morita equivalence derived categories triangulated structures exact sequences long exact cohomology homology Ext Tor sheaves stacks bundles fiber products pullbacks pushouts limits colimits adjunctions functors natural transformations monads comonads operads algebras coalgebras modules comodules tensor products symmetric exterior powers divided powers Schur functors symmetric group representations Young tableaux Specht modules characters orthogonality relations class functions centralizers normalizers stabilizers fixed points Burnside lemma orbit counting formula Cauchy Frobenius lemma Molien series Hilbert series Poincare series zeta functions Riemann Hurwitz genus Euler characteristic signature index signature defect correction terms delta invariants Milnor number vanishing cycles Picard group Neron-Severi lattice intersection pairing discriminant conductor ramification divisor class group Jacobian variety Abelian scheme family moduli space stable maps Gromov-Witten invariants virtual fundamental cycle localization formulas residues contributions critical points non-degenerate Hessian determinant Morse index cobordism ring bordism class characteristic classes Chern Pontryagin Stiefel Whitney Euler Pfaffian determinant trace permanent Hafnian symplectic capacity symplectic area volume form orientation coorientation normal bundle tangent bundle cotangent bundle dual basis frames sections global vector fields Lie derivative interior product exterior differential graded algebra chain complex cochain complex homotopy exact sequence Mayer Vietoris spectral sequence Serre Leray Gysin Thom isomorphism theorem Poincare duality universal coefficient theorem Künneth formula cross product cup cap products Kronecker pairing evaluation map restriction inclusion projection pushforward pullback functoriality naturality commutativity associativity distributivity identity zero element additive inverse multiplicative inverse unity unit scalar multiplication composition concatenation extension collapse contraction deformation retraction homotopy equivalence weak homotopy type CW-complex cell attachment attaching maps characteristic maps boundary operators simplicial complexes ordered simplices ordered faces face maps degeneracy operations barycentric subdivision subdivision operator chain map cochain map induced homomorphism functoriality natural transformation component-wise definition global section stalk fiber product limit colimit adjunction unit counit Yoneda lemma representable functor Yoneda embedding fully faithful dense subcategory essentially surjective equivalence of categories inverse equivalences adjoint pairs left right exact functors derived functors Ext Tor hypercohomology spectral sequences convergence conditions filtration degree shifts indexing conventions sign rules Koszul sign convention graded commutativity anticommutativity supergeometry superalgebra supernumbers Grassmann variables Berezin integral superspace supervector space supermanifold tangent bundle cotangent bundle odd coordinates even coordinates structure sheaf ringed space morphism of ringed spaces pullback pushforward restriction extension support proper map finite type separated Hausdorff compactness local Noetherian property coherent sheaf quasi-coherent ideal sheaf nilpotent radical radical ideal reduced scheme affine open cover gluing data transition functions cocycle condition Čech cohomology hypercohomology derived category triangulated structure distinguished triangle exact sequence long exact sequence of cohomology groups universal coefficient theorem Künneth formula spectral sequences Serre Leray Gysin Thom isomorphism theorem Poincare duality Grothendieck-Riemann-Roch Atiyah-Singer index theorem Riemann Roch Hirzebruch signature theorem Lefschetz fixed point formula Gauss-Bonnet Chern-Weil theory characteristic classes curvature forms connection forms holonomy groups structure equations Cartan structural equations Maurer-Cartan form exterior derivative covariant derivative Lie bracket torsion tensor Riemann curvature tensor Ricci tensor scalar sectional Gaussian mean average curvatures principal curvatures principal directions asymptotic lines conjugate nets geodesic curvature normal curvature geodesics parallel transport Levi-Civita connection metric compatibility symmetry properties existence uniqueness theorem fundamental theorem of Riemannian geometry ambient space embedding codimension dimension rank nullity kernel image dimension formula Sylvester law inertia signature index positive negative definite semi-definite indefinite degenerate non-degenerate regular singular points critical values Morse theory cobordism classification problem surgery theory handlebody decomposition Heegaard splitting open book decomposition contact structures Legendrian knots transverse links Milnor fibration singularity resolution minimal model program log canonical thresholds multiplier ideals vanishing theore Kodaira embedding theorem Nakai-Moishezon ampleness positivity criteria ample line bundles base point free linear systems very ample embeddings projective spaces Grassmannians flag varieties homogeneous spaces symmetric spaces hermitian symmetric domains bounded symmetric domains Siegel upper half-space moduli space abelian varieties principally polarized Jacobians period map Torelli theorem rigidification automorphism groups deformation theory obstruction theory formal moduli pro-representable hulls miniversal families versal deformations universal family existence uniqueness criteria stability conditions GIT quotient stacks quotients by finite groups actions stabilizers isotropy subgroups orbit maps fixed point sets Lefschetz hyperplane section theorems weak Lefschetz hard Lefschetz hard weak vanishing theorems Kodaira Akizuki Nakano Andreotti-Grauert Serre duality Grothendieck duality Verdier self-duality Poincare duality universal coefficient theorem Künneth formula spectral sequences Leray-Serre hypercohomology derived categories triangulated structures distinguished triangles exact sequences long exact sequence cohomology groups universal coefficient theorem Künneth formula spectral sequences convergence conditions filtration degree shifts indexing conventions sign rules Koszul sign convention graded commutativity anticommutativity supergeometry superalgebra supernumbers Grassmann variables Berezin integral superspace supervector space supermanifold tangent bundle cotangent bundle odd coordinates even coordinates structure sheaf ringed space morphism of ringed spaces pullback pushforward restriction extension support proper map finite type separated Hausdorff compactness local Noetherian property coherent sheaf quasi-coherent ideal sheaf nilpotent radical radical ideal reduced scheme affine open cover gluing data transition functions cocycle condition Čech cohomology hypercohomology derived category triangulated structure distinguished triangle exact sequence long exact sequence of cohomology groups universal coefficient theorem Künneth formula spectral sequences Serre Leray Gysin Thom isomorphism theorem Poincare duality Grothendieck-Riemann-Roch Atiyah-Singer index theorem Riemann Roch Hirzebruch signature theorem Lefschetz fixed point formula Gauss-Bonnet Chern-Weil theory characteristic classes curvature forms connection forms holonomy groups structure equations Cartan structural equations Maurer-Cartan form exterior derivative covariant derivative Lie bracket torsion tensor Riemann curvature tensor Ricci tensor scalar sectional Gaussian mean average curvatures principal curvatures principal directions asymptotic lines conjugate nets geodesic curvature normal curvature geodesics parallel transport Levi-Civita connection metric compatibility symmetry properties existence uniqueness theorem fundamental theorem of Riemannian geometry ambient space embedding codimension dimension rank nullity kernel image dimension formula Sylvester law inertia signature index positive negative definite semi-definite indefinite degenerate non-degenerate regular singular points critical values Morse theory cobordism classification problem surgery theory handlebody decomposition Heegaard splitting open book decomposition contact structures Legendrian knots transverse links Milnor fibration singularity resolution minimal model program log canonical thresholds multiplier ideals vanishing theorems Kodaira embedding theorem Nakai-Moishezon ampleness positivity criteria ample line bundles base point free linear systems very ample embeddings projective spaces Grassmannians flag varieties homogeneous spaces symmetric spaces hermitian symmetric domains bounded symmetric domains Siegel upper half-space moduli space abelian varieties principally polarized Jacobians period map Torelli theorem rigidification automorphism groups deformation theory obstruction theory formal moduli pro-representable hulls miniversal families versal deformations universal family existence uniqueness criteria stability conditions GIT quotient stacks quotients by finite groups actions stabilizers isotropy subgroups orbit maps fixed point sets Lefschetz hyperplane section theorems weak Lefschetz hard Lefschetz hard weak vanishing theorems Kodaira Akizuki Nakano Andreotti-Grauert Serre duality Grothendieck duality Verdier self-duality Poincare duality universal coefficient theorem Künneth formula spectral sequences Leray-Serre hypercohomology derived categories triangulated structures distinguished triangles exact sequences long exact sequence cohomology groups.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the United Arab Emirates Abu Dhabi: A Strategic Academic Analysis</dc:title>
  <dc:creator/>
  <dc:language>en</dc:language>
  <cp:keywords/>
  <dcterms:created xsi:type="dcterms:W3CDTF">2026-07-29T09:52:48Z</dcterms:created>
  <dcterms:modified xsi:type="dcterms:W3CDTF">2026-07-29T09:52:48Z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