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Professional</w:t>
      </w:r>
      <w:r>
        <w:t xml:space="preserve"> </w:t>
      </w:r>
      <w:r>
        <w:t xml:space="preserve">Plumbing</w:t>
      </w:r>
      <w:r>
        <w:t xml:space="preserve"> </w:t>
      </w:r>
      <w:r>
        <w:t xml:space="preserve">in</w:t>
      </w:r>
      <w:r>
        <w:t xml:space="preserve"> </w:t>
      </w:r>
      <w:r>
        <w:t xml:space="preserve">Urban</w:t>
      </w:r>
      <w:r>
        <w:t xml:space="preserve"> </w:t>
      </w:r>
      <w:r>
        <w:t xml:space="preserve">Infrastructure: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Frankfurt,</w:t>
      </w:r>
      <w:r>
        <w:t xml:space="preserve"> </w:t>
      </w:r>
      <w:r>
        <w:t xml:space="preserve">Germany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Professional Plumbing in Urban Infrastructure: A Case Study of Frankfurt, Germany</dc:title>
  <dc:creator/>
  <dc:language>en</dc:language>
  <cp:keywords/>
  <dcterms:created xsi:type="dcterms:W3CDTF">2026-07-29T15:24:58Z</dcterms:created>
  <dcterms:modified xsi:type="dcterms:W3CDTF">2026-07-29T15:24:58Z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