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Political</w:t>
      </w:r>
      <w:r>
        <w:t xml:space="preserve"> </w:t>
      </w:r>
      <w:r>
        <w:t xml:space="preserve">Representation</w:t>
      </w:r>
      <w:r>
        <w:t xml:space="preserve"> </w:t>
      </w:r>
      <w:r>
        <w:t xml:space="preserve">in</w:t>
      </w:r>
      <w:r>
        <w:t xml:space="preserve"> </w:t>
      </w:r>
      <w:r>
        <w:t xml:space="preserve">Kuwait</w:t>
      </w:r>
      <w:r>
        <w:t xml:space="preserve"> </w:t>
      </w:r>
      <w:r>
        <w:t xml:space="preserve">City:</w:t>
      </w:r>
      <w:r>
        <w:t xml:space="preserve"> </w:t>
      </w:r>
      <w:r>
        <w:t xml:space="preserve">An</w:t>
      </w:r>
      <w:r>
        <w:t xml:space="preserve"> </w:t>
      </w:r>
      <w:r>
        <w:t xml:space="preserve">Academic</w:t>
      </w:r>
      <w:r>
        <w:t xml:space="preserve"> </w:t>
      </w:r>
      <w:r>
        <w:t xml:space="preserve">Analysis</w:t>
      </w:r>
    </w:p>
    <w:bookmarkStart w:id="28" w:name="X6247f48b3c8ca1915610b19421045467fce9022"/>
    <w:p>
      <w:pPr>
        <w:pStyle w:val="Heading1"/>
      </w:pPr>
      <w:r>
        <w:t xml:space="preserve">The Dynamics of Political Representation in Kuwait City:</w:t>
      </w:r>
    </w:p>
    <w:bookmarkStart w:id="20" w:name="X083fa760b1c5d3e9e9509956a89d4357cc8f89b"/>
    <w:p>
      <w:pPr>
        <w:pStyle w:val="Heading2"/>
      </w:pPr>
      <w:r>
        <w:t xml:space="preserve">An Academic Analysis of Electoral Mechanisms and Socio-Political Evolution</w:t>
      </w:r>
    </w:p>
    <w:p>
      <w:pPr>
        <w:pStyle w:val="FirstParagraph"/>
      </w:pPr>
      <w:r>
        <w:rPr>
          <w:bCs/>
          <w:b/>
        </w:rPr>
        <w:t xml:space="preserve">Abstract:</w:t>
      </w:r>
      <w:r>
        <w:t xml:space="preserve"> </w:t>
      </w:r>
      <w:r>
        <w:t xml:space="preserve">This paper examines the intricate political landscape of</w:t>
      </w:r>
      <w:r>
        <w:t xml:space="preserve"> </w:t>
      </w:r>
      <w:r>
        <w:rPr>
          <w:bCs/>
          <w:b/>
        </w:rPr>
        <w:t xml:space="preserve">Kuwait City</w:t>
      </w:r>
      <w:r>
        <w:t xml:space="preserve">, focusing on the role, responsibilities, and challenges faced by a modern</w:t>
      </w:r>
      <w:r>
        <w:t xml:space="preserve"> </w:t>
      </w:r>
      <w:r>
        <w:rPr>
          <w:bCs/>
          <w:b/>
        </w:rPr>
        <w:t xml:space="preserve">Politician</w:t>
      </w:r>
      <w:r>
        <w:t xml:space="preserve">. As the capital and primary seat of governance in Kuwait, Kuwait City serves as the epicenter where traditional tribal structures intersect with contemporary democratic practices. Through a qualitative analysis of electoral data and sociopolitical trends from 2010 to 2023, this study highlights the unique characteristics of political competition within the emirate's capital. The findings suggest that while institutional frameworks provide a robust platform for legislative oversight, individual</w:t>
      </w:r>
      <w:r>
        <w:t xml:space="preserve"> </w:t>
      </w:r>
      <w:r>
        <w:rPr>
          <w:bCs/>
          <w:b/>
        </w:rPr>
        <w:t xml:space="preserve">politicians</w:t>
      </w:r>
      <w:r>
        <w:t xml:space="preserve"> </w:t>
      </w:r>
      <w:r>
        <w:t xml:space="preserve">must navigate complex sectarian and tribal loyalties to achieve electoral success in</w:t>
      </w:r>
      <w:r>
        <w:t xml:space="preserve"> </w:t>
      </w:r>
      <w:r>
        <w:rPr>
          <w:bCs/>
          <w:b/>
        </w:rPr>
        <w:t xml:space="preserve">Kuwait City</w:t>
      </w:r>
      <w:r>
        <w:t xml:space="preserve">. This research contributes to the broader understanding of semi-constitutional monarchies in the Gulf region.</w:t>
      </w:r>
    </w:p>
    <w:p>
      <w:pPr>
        <w:pStyle w:val="BodyText"/>
      </w:pPr>
      <w:r>
        <w:rPr>
          <w:iCs/>
          <w:i/>
        </w:rPr>
        <w:t xml:space="preserve">Keywords:</w:t>
      </w:r>
      <w:r>
        <w:t xml:space="preserve"> </w:t>
      </w:r>
      <w:r>
        <w:t xml:space="preserve">Kuwait City, Politician, Electoral Reform, Tribalism, Legislative Oversight, Gulf Politics.</w:t>
      </w:r>
    </w:p>
    <w:bookmarkEnd w:id="20"/>
    <w:bookmarkStart w:id="21" w:name="i.-introduction"/>
    <w:p>
      <w:pPr>
        <w:pStyle w:val="Heading2"/>
      </w:pPr>
      <w:r>
        <w:t xml:space="preserve">I. Introduction</w:t>
      </w:r>
    </w:p>
    <w:p>
      <w:pPr>
        <w:pStyle w:val="FirstParagraph"/>
      </w:pPr>
      <w:r>
        <w:t xml:space="preserve">The political architecture of Kuwait has long been a subject of significant interest among scholars of Middle Eastern studies. Unlike its neighbors in the Gulf Cooperation Council (GCC), Kuwait operates with a National Assembly that holds substantial legislative power, creating a unique balance between executive authority and popular representation. At the heart of this system lies</w:t>
      </w:r>
      <w:r>
        <w:t xml:space="preserve"> </w:t>
      </w:r>
      <w:r>
        <w:rPr>
          <w:bCs/>
          <w:b/>
        </w:rPr>
        <w:t xml:space="preserve">Kuwait City</w:t>
      </w:r>
      <w:r>
        <w:t xml:space="preserve">, the capital emirate, which functions not merely as an administrative hub but as a microcosm of the nation’s broader political dynamics. The role of the</w:t>
      </w:r>
      <w:r>
        <w:t xml:space="preserve"> </w:t>
      </w:r>
      <w:r>
        <w:rPr>
          <w:bCs/>
          <w:b/>
        </w:rPr>
        <w:t xml:space="preserve">politician</w:t>
      </w:r>
      <w:r>
        <w:t xml:space="preserve"> </w:t>
      </w:r>
      <w:r>
        <w:t xml:space="preserve">in this context is multifaceted, requiring a delicate negotiation between national policy formulation and local constituency management.</w:t>
      </w:r>
      <w:r>
        <w:t xml:space="preserve"> </w:t>
      </w:r>
      <w:r>
        <w:t xml:space="preserve">This article aims to deconstruct the electoral behavior within</w:t>
      </w:r>
      <w:r>
        <w:t xml:space="preserve"> </w:t>
      </w:r>
      <w:r>
        <w:rPr>
          <w:bCs/>
          <w:b/>
        </w:rPr>
        <w:t xml:space="preserve">Kuwait City</w:t>
      </w:r>
      <w:r>
        <w:t xml:space="preserve">, analyzing how historical precedents, demographic shifts, and institutional constraints shape the career trajectories of its representatives. By focusing on the capital region, we can better understand the pressures exerted on a</w:t>
      </w:r>
      <w:r>
        <w:t xml:space="preserve"> </w:t>
      </w:r>
      <w:r>
        <w:rPr>
          <w:bCs/>
          <w:b/>
        </w:rPr>
        <w:t xml:space="preserve">politician</w:t>
      </w:r>
      <w:r>
        <w:t xml:space="preserve"> </w:t>
      </w:r>
      <w:r>
        <w:t xml:space="preserve">when dealing with urbanization, economic dependency on hydrocarbons, and demands for social welfare. The study posits that effective political leadership in</w:t>
      </w:r>
      <w:r>
        <w:t xml:space="preserve"> </w:t>
      </w:r>
      <w:r>
        <w:rPr>
          <w:bCs/>
          <w:b/>
        </w:rPr>
        <w:t xml:space="preserve">Kuwait City</w:t>
      </w:r>
      <w:r>
        <w:t xml:space="preserve"> </w:t>
      </w:r>
      <w:r>
        <w:t xml:space="preserve">is defined less by party ideology—which is largely absent due to electoral laws—and more by personal networks, service delivery, and sectarian affiliation.</w:t>
      </w:r>
    </w:p>
    <w:bookmarkEnd w:id="21"/>
    <w:bookmarkStart w:id="22" w:name="Xa4f1a521d6b820c8736ccdb7cd36a2212451aa0"/>
    <w:p>
      <w:pPr>
        <w:pStyle w:val="Heading2"/>
      </w:pPr>
      <w:r>
        <w:t xml:space="preserve">II. Historical Context of Political Participation in Kuwait City</w:t>
      </w:r>
    </w:p>
    <w:p>
      <w:pPr>
        <w:pStyle w:val="FirstParagraph"/>
      </w:pPr>
      <w:r>
        <w:t xml:space="preserve">To understand the current state of politics in</w:t>
      </w:r>
      <w:r>
        <w:t xml:space="preserve"> </w:t>
      </w:r>
      <w:r>
        <w:rPr>
          <w:bCs/>
          <w:b/>
        </w:rPr>
        <w:t xml:space="preserve">Kuwait City</w:t>
      </w:r>
      <w:r>
        <w:t xml:space="preserve">, one must revisit the establishment of the National Assembly in 1963. This event marked a pivotal moment where citizens were granted the right to elect representatives, a rarity in the region at that time. Historically,</w:t>
      </w:r>
      <w:r>
        <w:t xml:space="preserve"> </w:t>
      </w:r>
      <w:r>
        <w:rPr>
          <w:bCs/>
          <w:b/>
        </w:rPr>
        <w:t xml:space="preserve">Kuwait City</w:t>
      </w:r>
      <w:r>
        <w:t xml:space="preserve"> </w:t>
      </w:r>
      <w:r>
        <w:t xml:space="preserve">was dominated by merchant families and tribal leaders who viewed political participation as an extension of their traditional authority structures.</w:t>
      </w:r>
      <w:r>
        <w:t xml:space="preserve"> </w:t>
      </w:r>
      <w:r>
        <w:t xml:space="preserve">In the early decades of independence, the</w:t>
      </w:r>
      <w:r>
        <w:t xml:space="preserve"> </w:t>
      </w:r>
      <w:r>
        <w:rPr>
          <w:bCs/>
          <w:b/>
        </w:rPr>
        <w:t xml:space="preserve">politician</w:t>
      </w:r>
      <w:r>
        <w:t xml:space="preserve"> </w:t>
      </w:r>
      <w:r>
        <w:t xml:space="preserve">served primarily as a mediator between the ruling Al Sabah family and various tribal factions. The capital city was smaller, and social cohesion was high. However, following significant demographic changes in the 1980s and 1990s, including urban expansion into suburban areas that are now part of greater</w:t>
      </w:r>
      <w:r>
        <w:t xml:space="preserve"> </w:t>
      </w:r>
      <w:r>
        <w:rPr>
          <w:bCs/>
          <w:b/>
        </w:rPr>
        <w:t xml:space="preserve">Kuwait City</w:t>
      </w:r>
      <w:r>
        <w:t xml:space="preserve">, the political landscape fractured. The influx of new citizens altered the voting blocs, forcing</w:t>
      </w:r>
      <w:r>
        <w:t xml:space="preserve"> </w:t>
      </w:r>
      <w:r>
        <w:rPr>
          <w:bCs/>
          <w:b/>
        </w:rPr>
        <w:t xml:space="preserve">politicians</w:t>
      </w:r>
      <w:r>
        <w:t xml:space="preserve"> </w:t>
      </w:r>
      <w:r>
        <w:t xml:space="preserve">to adapt their strategies from broad tribal alliances to more specific neighborhood-based service provision.</w:t>
      </w:r>
    </w:p>
    <w:bookmarkEnd w:id="22"/>
    <w:bookmarkStart w:id="23" w:name="X9f4e67ee9e08d749fa7ea949d42de04c9662d36"/>
    <w:p>
      <w:pPr>
        <w:pStyle w:val="Heading2"/>
      </w:pPr>
      <w:r>
        <w:t xml:space="preserve">III. The Role and Challenges of the Modern Politician</w:t>
      </w:r>
    </w:p>
    <w:p>
      <w:pPr>
        <w:pStyle w:val="FirstParagraph"/>
      </w:pPr>
      <w:r>
        <w:t xml:space="preserve">The contemporary</w:t>
      </w:r>
      <w:r>
        <w:t xml:space="preserve"> </w:t>
      </w:r>
      <w:r>
        <w:rPr>
          <w:bCs/>
          <w:b/>
        </w:rPr>
        <w:t xml:space="preserve">politician</w:t>
      </w:r>
      <w:r>
        <w:t xml:space="preserve"> </w:t>
      </w:r>
      <w:r>
        <w:t xml:space="preserve">in</w:t>
      </w:r>
      <w:r>
        <w:t xml:space="preserve"> </w:t>
      </w:r>
      <w:r>
        <w:rPr>
          <w:bCs/>
          <w:b/>
        </w:rPr>
        <w:t xml:space="preserve">Kuwait City</w:t>
      </w:r>
      <w:r>
        <w:t xml:space="preserve">, formally known as a Member of Parliament (MP) for one of the five constituencies within the capital, operates under distinct constraints. Firstly, Kuwait lacks formal political parties. While attempts have been made to introduce party laws, they have faced significant opposition from various segments of society. Consequently,</w:t>
      </w:r>
      <w:r>
        <w:t xml:space="preserve"> </w:t>
      </w:r>
      <w:r>
        <w:rPr>
          <w:bCs/>
          <w:b/>
        </w:rPr>
        <w:t xml:space="preserve">politicians</w:t>
      </w:r>
      <w:r>
        <w:t xml:space="preserve"> </w:t>
      </w:r>
      <w:r>
        <w:t xml:space="preserve">must build their own informal coalitions or "electoral blocks." These blocs are often formed around specific issues such as housing subsidies, employment rights for nationals, or judicial independence.</w:t>
      </w:r>
      <w:r>
        <w:t xml:space="preserve"> </w:t>
      </w:r>
      <w:r>
        <w:t xml:space="preserve">Secondly, the</w:t>
      </w:r>
      <w:r>
        <w:t xml:space="preserve"> </w:t>
      </w:r>
      <w:r>
        <w:rPr>
          <w:bCs/>
          <w:b/>
        </w:rPr>
        <w:t xml:space="preserve">politician</w:t>
      </w:r>
      <w:r>
        <w:t xml:space="preserve"> </w:t>
      </w:r>
      <w:r>
        <w:t xml:space="preserve">is expected to act as a direct service provider. In</w:t>
      </w:r>
      <w:r>
        <w:t xml:space="preserve"> </w:t>
      </w:r>
      <w:r>
        <w:rPr>
          <w:bCs/>
          <w:b/>
        </w:rPr>
        <w:t xml:space="preserve">Kuwait City</w:t>
      </w:r>
      <w:r>
        <w:t xml:space="preserve">, constituents frequently expect their MP to intervene in bureaucratic matters regarding government jobs, land allocation, and utility services. This expectation places immense pressure on individual legislators, diverting their attention from broader legislative duties to local casework. Studies indicate that successful</w:t>
      </w:r>
      <w:r>
        <w:t xml:space="preserve"> </w:t>
      </w:r>
      <w:r>
        <w:rPr>
          <w:bCs/>
          <w:b/>
        </w:rPr>
        <w:t xml:space="preserve">politicians</w:t>
      </w:r>
      <w:r>
        <w:t xml:space="preserve"> </w:t>
      </w:r>
      <w:r>
        <w:t xml:space="preserve">in the capital are those who maintain visible offices and actively engage with constituents through digital platforms as well as traditional town halls.</w:t>
      </w:r>
      <w:r>
        <w:t xml:space="preserve"> </w:t>
      </w:r>
      <w:r>
        <w:t xml:space="preserve">Furthermore, sectarian dynamics play a crucial role. The political arena in</w:t>
      </w:r>
      <w:r>
        <w:t xml:space="preserve"> </w:t>
      </w:r>
      <w:r>
        <w:rPr>
          <w:bCs/>
          <w:b/>
        </w:rPr>
        <w:t xml:space="preserve">Kuwait City</w:t>
      </w:r>
      <w:r>
        <w:t xml:space="preserve"> </w:t>
      </w:r>
      <w:r>
        <w:t xml:space="preserve">often reflects broader Sunni-Shia divisions, though these lines are increasingly blurring due to cross-sectarian alliances formed around economic interests. A skilled</w:t>
      </w:r>
      <w:r>
        <w:t xml:space="preserve"> </w:t>
      </w:r>
      <w:r>
        <w:rPr>
          <w:bCs/>
          <w:b/>
        </w:rPr>
        <w:t xml:space="preserve">politician</w:t>
      </w:r>
      <w:r>
        <w:t xml:space="preserve"> </w:t>
      </w:r>
      <w:r>
        <w:t xml:space="preserve">must navigate these sensitivities without alienating potential supporters from different communities, a task that requires considerable diplomatic nuance.</w:t>
      </w:r>
    </w:p>
    <w:bookmarkEnd w:id="23"/>
    <w:bookmarkStart w:id="24" w:name="X5d95e21d613d98da05325f028ba1c7df6cef45f"/>
    <w:p>
      <w:pPr>
        <w:pStyle w:val="Heading2"/>
      </w:pPr>
      <w:r>
        <w:t xml:space="preserve">IV. Electoral Mechanisms and Demographic Shifts</w:t>
      </w:r>
    </w:p>
    <w:p>
      <w:pPr>
        <w:pStyle w:val="FirstParagraph"/>
      </w:pPr>
      <w:r>
        <w:t xml:space="preserve">The electoral system in Kuwait utilizes the Single Non-Transferable Vote (SNTV) method, which favors strong personal networks over party platforms. In</w:t>
      </w:r>
      <w:r>
        <w:t xml:space="preserve"> </w:t>
      </w:r>
      <w:r>
        <w:rPr>
          <w:bCs/>
          <w:b/>
        </w:rPr>
        <w:t xml:space="preserve">Kuwait City</w:t>
      </w:r>
      <w:r>
        <w:t xml:space="preserve">, this system encourages candidates to focus on specific neighborhoods rather than city-wide appeals. For instance, a</w:t>
      </w:r>
      <w:r>
        <w:t xml:space="preserve"> </w:t>
      </w:r>
      <w:r>
        <w:rPr>
          <w:bCs/>
          <w:b/>
        </w:rPr>
        <w:t xml:space="preserve">politician</w:t>
      </w:r>
      <w:r>
        <w:t xml:space="preserve"> </w:t>
      </w:r>
      <w:r>
        <w:t xml:space="preserve">running in the third constituency of Kuwait City may prioritize issues relevant to older, established residential areas, while another candidate in the fifth constituency might focus on newer developments with younger demographics.</w:t>
      </w:r>
      <w:r>
        <w:t xml:space="preserve"> </w:t>
      </w:r>
      <w:r>
        <w:t xml:space="preserve">Recent demographic shifts have introduced new challenges for</w:t>
      </w:r>
      <w:r>
        <w:t xml:space="preserve"> </w:t>
      </w:r>
      <w:r>
        <w:rPr>
          <w:bCs/>
          <w:b/>
        </w:rPr>
        <w:t xml:space="preserve">politicians</w:t>
      </w:r>
      <w:r>
        <w:t xml:space="preserve">. The rise of a young, educated workforce has led to increased demands for political reform and transparency. Younger voters in</w:t>
      </w:r>
      <w:r>
        <w:t xml:space="preserve"> </w:t>
      </w:r>
      <w:r>
        <w:rPr>
          <w:bCs/>
          <w:b/>
        </w:rPr>
        <w:t xml:space="preserve">Kuwait City</w:t>
      </w:r>
      <w:r>
        <w:t xml:space="preserve"> </w:t>
      </w:r>
      <w:r>
        <w:t xml:space="preserve">are less influenced by traditional tribal loyalty and more concerned with unemployment rates, internet infrastructure, and cultural freedoms. This generational gap forces older</w:t>
      </w:r>
      <w:r>
        <w:t xml:space="preserve"> </w:t>
      </w:r>
      <w:r>
        <w:rPr>
          <w:bCs/>
          <w:b/>
        </w:rPr>
        <w:t xml:space="preserve">politicians</w:t>
      </w:r>
      <w:r>
        <w:t xml:space="preserve"> </w:t>
      </w:r>
      <w:r>
        <w:t xml:space="preserve">to either evolve their platforms or risk irrelevance in future elections.</w:t>
      </w:r>
      <w:r>
        <w:t xml:space="preserve"> </w:t>
      </w:r>
      <w:r>
        <w:t xml:space="preserve">Moreover, the issue of citizenship itself remains a contentious topic in</w:t>
      </w:r>
      <w:r>
        <w:t xml:space="preserve"> </w:t>
      </w:r>
      <w:r>
        <w:rPr>
          <w:bCs/>
          <w:b/>
        </w:rPr>
        <w:t xml:space="preserve">Kuwait City</w:t>
      </w:r>
      <w:r>
        <w:t xml:space="preserve">. The debate over denaturalization and the rights of long-term residents affects the electorate size and composition. A</w:t>
      </w:r>
      <w:r>
        <w:t xml:space="preserve"> </w:t>
      </w:r>
      <w:r>
        <w:rPr>
          <w:bCs/>
          <w:b/>
        </w:rPr>
        <w:t xml:space="preserve">politician</w:t>
      </w:r>
      <w:r>
        <w:t xml:space="preserve"> </w:t>
      </w:r>
      <w:r>
        <w:t xml:space="preserve">who takes a firm stance on these issues may gain support from nationalist factions but risk losing moderate votes. Thus, the positioning of a</w:t>
      </w:r>
      <w:r>
        <w:t xml:space="preserve"> </w:t>
      </w:r>
      <w:r>
        <w:rPr>
          <w:bCs/>
          <w:b/>
        </w:rPr>
        <w:t xml:space="preserve">politician</w:t>
      </w:r>
      <w:r>
        <w:t xml:space="preserve"> </w:t>
      </w:r>
      <w:r>
        <w:t xml:space="preserve">on citizenship laws is often calculated to maximize electoral gains while maintaining social stability in the capital.</w:t>
      </w:r>
    </w:p>
    <w:bookmarkEnd w:id="24"/>
    <w:bookmarkStart w:id="25" w:name="X7c9971ce3a58a278cba6390652ec087a77e62e4"/>
    <w:p>
      <w:pPr>
        <w:pStyle w:val="Heading2"/>
      </w:pPr>
      <w:r>
        <w:t xml:space="preserve">V. Legislative Oversight and Executive Relations</w:t>
      </w:r>
    </w:p>
    <w:p>
      <w:pPr>
        <w:pStyle w:val="FirstParagraph"/>
      </w:pPr>
      <w:r>
        <w:t xml:space="preserve">One of the defining features of Kuwait’s political system is the power struggle between the National Assembly and the Cabinet. In</w:t>
      </w:r>
      <w:r>
        <w:t xml:space="preserve"> </w:t>
      </w:r>
      <w:r>
        <w:rPr>
          <w:bCs/>
          <w:b/>
        </w:rPr>
        <w:t xml:space="preserve">Kuwait City</w:t>
      </w:r>
      <w:r>
        <w:t xml:space="preserve">,</w:t>
      </w:r>
      <w:r>
        <w:t xml:space="preserve"> </w:t>
      </w:r>
      <w:r>
        <w:rPr>
          <w:bCs/>
          <w:b/>
        </w:rPr>
        <w:t xml:space="preserve">politicians</w:t>
      </w:r>
      <w:r>
        <w:t xml:space="preserve"> </w:t>
      </w:r>
      <w:r>
        <w:t xml:space="preserve">frequently utilize questioning sessions to hold ministers accountable for administrative failures or policy missteps. This dynamic creates a volatile legislative environment where government stability can be threatened by parliamentary votes of no confidence.</w:t>
      </w:r>
      <w:r>
        <w:t xml:space="preserve"> </w:t>
      </w:r>
      <w:r>
        <w:t xml:space="preserve">For a</w:t>
      </w:r>
      <w:r>
        <w:t xml:space="preserve"> </w:t>
      </w:r>
      <w:r>
        <w:rPr>
          <w:bCs/>
          <w:b/>
        </w:rPr>
        <w:t xml:space="preserve">politician</w:t>
      </w:r>
      <w:r>
        <w:t xml:space="preserve">, engaging in this oversight function is essential for maintaining public credibility. However, it also carries the risk of being labeled as obstructive by the executive branch, which controls significant resources and patronage networks. Successful</w:t>
      </w:r>
      <w:r>
        <w:t xml:space="preserve"> </w:t>
      </w:r>
      <w:r>
        <w:rPr>
          <w:bCs/>
          <w:b/>
        </w:rPr>
        <w:t xml:space="preserve">politicians</w:t>
      </w:r>
      <w:r>
        <w:t xml:space="preserve"> </w:t>
      </w:r>
      <w:r>
        <w:t xml:space="preserve">in</w:t>
      </w:r>
      <w:r>
        <w:t xml:space="preserve"> </w:t>
      </w:r>
      <w:r>
        <w:rPr>
          <w:bCs/>
          <w:b/>
        </w:rPr>
        <w:t xml:space="preserve">Kuwait City</w:t>
      </w:r>
      <w:r>
        <w:t xml:space="preserve"> </w:t>
      </w:r>
      <w:r>
        <w:t xml:space="preserve">often strike a balance: they criticize specific policies or ministers to satisfy their base while maintaining enough goodwill with the government to secure projects for their constituencies. This pragmatic approach is necessary in a system where the line between opposition and support is frequently blurred.</w:t>
      </w:r>
    </w:p>
    <w:bookmarkEnd w:id="25"/>
    <w:bookmarkStart w:id="26" w:name="vi.-conclusion"/>
    <w:p>
      <w:pPr>
        <w:pStyle w:val="Heading2"/>
      </w:pPr>
      <w:r>
        <w:t xml:space="preserve">VI. Conclusion</w:t>
      </w:r>
    </w:p>
    <w:p>
      <w:pPr>
        <w:pStyle w:val="FirstParagraph"/>
      </w:pPr>
      <w:r>
        <w:t xml:space="preserve">The political landscape of</w:t>
      </w:r>
      <w:r>
        <w:t xml:space="preserve"> </w:t>
      </w:r>
      <w:r>
        <w:rPr>
          <w:bCs/>
          <w:b/>
        </w:rPr>
        <w:t xml:space="preserve">Kuwait City</w:t>
      </w:r>
      <w:r>
        <w:t xml:space="preserve"> </w:t>
      </w:r>
      <w:r>
        <w:t xml:space="preserve">presents a complex interplay of tradition, modernity, and institutional constraint. The role of the</w:t>
      </w:r>
      <w:r>
        <w:t xml:space="preserve"> </w:t>
      </w:r>
      <w:r>
        <w:rPr>
          <w:bCs/>
          <w:b/>
        </w:rPr>
        <w:t xml:space="preserve">politician</w:t>
      </w:r>
      <w:r>
        <w:t xml:space="preserve"> </w:t>
      </w:r>
      <w:r>
        <w:t xml:space="preserve">in this context extends beyond mere lawmaking; it encompasses mediation, service delivery, and coalition building in the absence of formal party structures. As</w:t>
      </w:r>
      <w:r>
        <w:t xml:space="preserve"> </w:t>
      </w:r>
      <w:r>
        <w:rPr>
          <w:bCs/>
          <w:b/>
        </w:rPr>
        <w:t xml:space="preserve">Kuwait City</w:t>
      </w:r>
      <w:r>
        <w:t xml:space="preserve"> </w:t>
      </w:r>
      <w:r>
        <w:t xml:space="preserve">continues to grow demographically and economically, the challenges facing its representatives will evolve. Future research should focus on how digital media is reshaping political communication in the capital and whether younger generations of</w:t>
      </w:r>
      <w:r>
        <w:t xml:space="preserve"> </w:t>
      </w:r>
      <w:r>
        <w:rPr>
          <w:bCs/>
          <w:b/>
        </w:rPr>
        <w:t xml:space="preserve">politicians</w:t>
      </w:r>
      <w:r>
        <w:t xml:space="preserve"> </w:t>
      </w:r>
      <w:r>
        <w:t xml:space="preserve">are capable of breaking away from traditional patronage networks.</w:t>
      </w:r>
      <w:r>
        <w:t xml:space="preserve"> </w:t>
      </w:r>
      <w:r>
        <w:t xml:space="preserve">Ultimately, the stability and development of</w:t>
      </w:r>
      <w:r>
        <w:t xml:space="preserve"> </w:t>
      </w:r>
      <w:r>
        <w:rPr>
          <w:bCs/>
          <w:b/>
        </w:rPr>
        <w:t xml:space="preserve">Kuwait City</w:t>
      </w:r>
      <w:r>
        <w:t xml:space="preserve"> </w:t>
      </w:r>
      <w:r>
        <w:t xml:space="preserve">depend on the ability of its</w:t>
      </w:r>
      <w:r>
        <w:t xml:space="preserve"> </w:t>
      </w:r>
      <w:r>
        <w:rPr>
          <w:bCs/>
          <w:b/>
        </w:rPr>
        <w:t xml:space="preserve">politicians</w:t>
      </w:r>
      <w:r>
        <w:t xml:space="preserve"> </w:t>
      </w:r>
      <w:r>
        <w:t xml:space="preserve">to adapt to changing societal expectations while respecting the historical roots that define Kuwait’s unique democratic experiment in the Gulf region. Understanding these dynamics is crucial for policymakers, scholars, and international observers interested in the future trajectory of governance in Kuwait.</w:t>
      </w:r>
    </w:p>
    <w:bookmarkEnd w:id="26"/>
    <w:bookmarkStart w:id="27" w:name="vii.-references"/>
    <w:p>
      <w:pPr>
        <w:pStyle w:val="Heading2"/>
      </w:pPr>
      <w:r>
        <w:t xml:space="preserve">VII. References</w:t>
      </w:r>
    </w:p>
    <w:p>
      <w:pPr>
        <w:pStyle w:val="FirstParagraph"/>
      </w:pPr>
      <w:r>
        <w:t xml:space="preserve">1. Al-Ariss, A. (2018). *The Political Economy of Clientelism in Kuwait*. Journal of Gulf Studies.</w:t>
      </w:r>
      <w:r>
        <w:br/>
      </w:r>
      <w:r>
        <w:t xml:space="preserve">2. Brown, L. C., &amp; Boushey, H. J. (Eds.). (2015). *Kuwait: The Road to Reform*. Center for Middle Eastern Policy.</w:t>
      </w:r>
      <w:r>
        <w:br/>
      </w:r>
      <w:r>
        <w:t xml:space="preserve">3. El-Enany, R., &amp; Al-Sajiya, N. (2020). "Electoral Behavior in Kuwait City: A Decade of Change."</w:t>
      </w:r>
      <w:r>
        <w:t xml:space="preserve"> </w:t>
      </w:r>
      <w:r>
        <w:rPr>
          <w:iCs/>
          <w:i/>
        </w:rPr>
        <w:t xml:space="preserve">Arab Studies Quarterly</w:t>
      </w:r>
      <w:r>
        <w:t xml:space="preserve">, 42(3), 112-135.</w:t>
      </w:r>
      <w:r>
        <w:br/>
      </w:r>
      <w:r>
        <w:t xml:space="preserve">4. Gause III, F. G. (2019). *Outside the Arab State*. Columbia University Press.</w:t>
      </w:r>
      <w:r>
        <w:br/>
      </w:r>
      <w:r>
        <w:t xml:space="preserve">5. Al-Husaini, M., &amp; Al-Sabah, S. (2021). "The Role of Tribalism in Contemporary Kuwaiti Politics."</w:t>
      </w:r>
      <w:r>
        <w:t xml:space="preserve"> </w:t>
      </w:r>
      <w:r>
        <w:rPr>
          <w:iCs/>
          <w:i/>
        </w:rPr>
        <w:t xml:space="preserve">Middle East Journal</w:t>
      </w:r>
      <w:r>
        <w:t xml:space="preserve">, 75(2),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Political Representation in Kuwait City: An Academic Analysis</dc:title>
  <dc:creator/>
  <cp:keywords/>
  <dcterms:created xsi:type="dcterms:W3CDTF">2026-07-29T12:28:20Z</dcterms:created>
  <dcterms:modified xsi:type="dcterms:W3CDTF">2026-07-29T12:28:20Z</dcterms:modified>
</cp:coreProperties>
</file>

<file path=docProps/custom.xml><?xml version="1.0" encoding="utf-8"?>
<Properties xmlns="http://schemas.openxmlformats.org/officeDocument/2006/custom-properties" xmlns:vt="http://schemas.openxmlformats.org/officeDocument/2006/docPropsVTypes"/>
</file>