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and</w:t>
      </w:r>
      <w:r>
        <w:t xml:space="preserve"> </w:t>
      </w:r>
      <w:r>
        <w:t xml:space="preserve">Governance</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6" w:name="X59bdd729e1007f7bdaba3f1e3cdaf0ed653a6b4"/>
    <w:p>
      <w:pPr>
        <w:pStyle w:val="Heading1"/>
      </w:pPr>
      <w:r>
        <w:t xml:space="preserve">The Evolution of Political Representation and Governance in Malaysia Kuala Lumpur: An Academic Analysis</w:t>
      </w:r>
    </w:p>
    <w:p>
      <w:pPr>
        <w:pStyle w:val="FirstParagraph"/>
      </w:pPr>
      <w:r>
        <w:rPr>
          <w:bCs/>
          <w:b/>
        </w:rPr>
        <w:t xml:space="preserve">Abstract:</w:t>
      </w:r>
      <w:r>
        <w:br/>
      </w:r>
      <w:r>
        <w:br/>
      </w:r>
      <w:r>
        <w:t xml:space="preserve">This academic journal article examines the complex dynamics of political representation, governance structures, and civic engagement within Malaysia’s federal capital, Kuala Lumpur. As the primary hub for administrative and economic activity in Malaysia Kuala Lumpur presents a unique case study for analyzing modern democratic processes in a developing Asian nation. This paper explores how politician roles have evolved from traditional patronage-based systems to more technocratic and policy-driven approaches, influenced by urbanization pressures and multicultural demographics. Through qualitative analysis of recent legislative changes, election data from the Klang Valley constituency, and interviews with local stakeholders, this study argues that effective governance in Kuala Lumpur requires balancing ethnic representation with meritocratic administration. The findings suggest that while digital transformation has improved transparency among politician figures in Malaysia Kuala Lumpur challenges remain regarding accountability and inclusive policy-making. This research contributes to broader debates on urban governance in Southeast Asia by highlighting the specific contextual factors shaping political behavior in Malaysia’s capital city.</w:t>
      </w:r>
      <w:r>
        <w:br/>
      </w:r>
      <w:r>
        <w:br/>
      </w:r>
    </w:p>
    <w:p>
      <w:pPr>
        <w:pStyle w:val="BodyText"/>
      </w:pPr>
      <w:r>
        <w:rPr>
          <w:bCs/>
          <w:b/>
        </w:rPr>
        <w:t xml:space="preserve">Keywords:</w:t>
      </w:r>
      <w:r>
        <w:t xml:space="preserve"> </w:t>
      </w:r>
      <w:r>
        <w:t xml:space="preserve">Politician, Malaysia Kuala Lumpur, Urban Governance, Political Representation, Democratic Accountability</w:t>
      </w:r>
    </w:p>
    <w:bookmarkStart w:id="20" w:name="i.-introduction"/>
    <w:p>
      <w:pPr>
        <w:pStyle w:val="Heading2"/>
      </w:pPr>
      <w:r>
        <w:t xml:space="preserve">I. Introduction</w:t>
      </w:r>
    </w:p>
    <w:p>
      <w:pPr>
        <w:pStyle w:val="FirstParagraph"/>
      </w:pPr>
      <w:r>
        <w:t xml:space="preserve">The political landscape of Malaysia Kuala Lumpur represents one of the most significant areas of study for understanding contemporary governance in Southeast Asia. As the federal capital and largest metropolitan area in Malaysia Kuala Lumpur serves not only as an economic powerhouse but also as a crucible where diverse cultural, religious, and ethnic identities intersect with state authority. The role of politician within this context is particularly intricate, requiring navigation through complex coalition politics rooted in the nation’s historical social contracts while addressing modern urban challenges such as infrastructure development, environmental sustainability, and equitable resource distribution.</w:t>
      </w:r>
    </w:p>
    <w:p>
      <w:pPr>
        <w:pStyle w:val="BodyText"/>
      </w:pPr>
      <w:r>
        <w:t xml:space="preserve">This article argues that the nature of political leadership in Malaysia Kuala Lumpur has undergone substantial transformation over the past two decades. Traditional models of politician engagement characterized by patron-client relationships are increasingly being challenged by demands for transparency, efficiency, and participatory governance driven by an educated middle class and civil society organizations. By focusing specifically on Malaysia Kuala Lumpur as a case study this analysis provides insights into how local political dynamics reflect broader national trends while maintaining unique urban characteristics.</w:t>
      </w:r>
    </w:p>
    <w:bookmarkEnd w:id="20"/>
    <w:bookmarkStart w:id="21" w:name="X6c88b9d250c2699da4d79f65e748ef5dfb10753"/>
    <w:p>
      <w:pPr>
        <w:pStyle w:val="Heading2"/>
      </w:pPr>
      <w:r>
        <w:t xml:space="preserve">II. Historical Context: The Political Architecture of Kuala Lumpur</w:t>
      </w:r>
    </w:p>
    <w:p>
      <w:pPr>
        <w:pStyle w:val="FirstParagraph"/>
      </w:pPr>
      <w:r>
        <w:t xml:space="preserve">To fully comprehend current governance patterns it is essential to examine the historical foundation upon which modern Malaysian politics operates. Malaysia Kuala Lumpur gained special administrative status as a federal territory in establishing a distinct political framework separate from surrounding states. This institutional design created specific mechanisms for representation that differ significantly from rural constituencies often dominated by agrarian concerns.</w:t>
      </w:r>
    </w:p>
    <w:p>
      <w:pPr>
        <w:pStyle w:val="BodyText"/>
      </w:pPr>
      <w:r>
        <w:t xml:space="preserve">For decades politician behavior in Malaysia Kuala Lumpur was shaped by multi-ethnic coalition structures designed to maintain stability among Malay, Chinese Indian and indigenous communities. The dominant Barisan Nasional alliance until exemplified a system where power sharing occurred primarily through elite negotiations rather than direct policy debates. However this model faced increasing scrutiny particularly after the historic general elections of which marked a turning point in Malaysian political history by ending five decades single-party rule.</w:t>
      </w:r>
    </w:p>
    <w:p>
      <w:pPr>
        <w:pStyle w:val="BodyText"/>
      </w:pPr>
      <w:r>
        <w:t xml:space="preserve">The transition toward multi-party democracy introduced new variables into Kuala Lumpur’s political ecosystem. Politician now compete not only on ethnic representation grounds but also on issues such as housing affordability public transport efficiency and anti-corruption measures. This shift reflects broader global trends toward issue-based campaigning while remaining constrained by deeply entrenched identity politics that continue to influence voting behavior in Malaysia Kuala Lumpur.</w:t>
      </w:r>
    </w:p>
    <w:bookmarkEnd w:id="21"/>
    <w:bookmarkStart w:id="22" w:name="Xdc679fe071cde873d8fb3de413c1859be04c255"/>
    <w:p>
      <w:pPr>
        <w:pStyle w:val="Heading2"/>
      </w:pPr>
      <w:r>
        <w:t xml:space="preserve">III. Contemporary Challenges Facing Politician in Urban Governance</w:t>
      </w:r>
    </w:p>
    <w:p>
      <w:pPr>
        <w:pStyle w:val="FirstParagraph"/>
      </w:pPr>
      <w:r>
        <w:t xml:space="preserve">The role of politician in managing Kuala Lumpur’s affairs has become increasingly complex due several interrelated factors. First rapid urbanization has placed immense pressure on existing infrastructure leading to traffic congestion inadequate waste management and rising property costs. Second demographic changes including aging population youth outmigration toward other regions require adaptive policy responses that many traditional politician approaches fail address adequately.</w:t>
      </w:r>
    </w:p>
    <w:p>
      <w:pPr>
        <w:pStyle w:val="BodyText"/>
      </w:pPr>
      <w:r>
        <w:t xml:space="preserve">Furthermore the rise of social media platforms has transformed how politician communicate with constituents in Malaysia Kuala Lumpur enabling greater transparency but also facilitating misinformation campaigns targeting specific communities. This digital dimension adds another layer complexity to political strategy requiring figures to balance rapid response capabilities with factual accuracy.</w:t>
      </w:r>
    </w:p>
    <w:p>
      <w:pPr>
        <w:pStyle w:val="BodyText"/>
      </w:pPr>
      <w:r>
        <w:t xml:space="preserve">An important aspect of contemporary governance involves addressing environmental concerns particularly air quality issues stemming from regional haze events and local industrial activities. Politician must demonstrate commitment sustainability initiatives while coordinating efforts across federal state and municipal levels often resulting bureaucratic delays frustrating residents accustomed higher expectations urban living standards.</w:t>
      </w:r>
    </w:p>
    <w:bookmarkEnd w:id="22"/>
    <w:bookmarkStart w:id="23" w:name="X43a9f37a2487c69c06df32a41bc6b07ee8bfdb8"/>
    <w:p>
      <w:pPr>
        <w:pStyle w:val="Heading2"/>
      </w:pPr>
      <w:r>
        <w:t xml:space="preserve">IV. The Role of Technology in Modernizing Political Engagement</w:t>
      </w:r>
    </w:p>
    <w:p>
      <w:pPr>
        <w:pStyle w:val="FirstParagraph"/>
      </w:pPr>
      <w:r>
        <w:t xml:space="preserve">Digital transformation plays pivotal role reshaping interactions between politician and citizens in Malaysia Kuala Lumpur. E-government platforms allow residents submit feedback regarding public services ranging from road maintenance to healthcare access creating unprecedented opportunities for data-driven policymaking. Additionally online petitions digital town halls social media discussions enable marginalized voices participate more actively in political discourse previously dominated by established power brokers.</w:t>
      </w:r>
    </w:p>
    <w:p>
      <w:pPr>
        <w:pStyle w:val="BodyText"/>
      </w:pPr>
      <w:r>
        <w:t xml:space="preserve">However these technological advancements also present challenges including cybersecurity threats potential manipulation of public opinion through algorithmic biases and widening digital divide between affluent suburban areas poorer urban neighborhoods. Politician must therefore develop comprehensive strategies leveraging technology effectively without exacerbating existing inequalities among different socioeconomic groups residing within Malaysia Kuala Lumpur boundaries.</w:t>
      </w:r>
    </w:p>
    <w:bookmarkEnd w:id="23"/>
    <w:bookmarkStart w:id="24" w:name="Xfc1d947748c3988f01dbe52027bf32a52fe13b6"/>
    <w:p>
      <w:pPr>
        <w:pStyle w:val="Heading2"/>
      </w:pPr>
      <w:r>
        <w:t xml:space="preserve">V. Case Study: Recent Legislative Reforms in the Klang Valley</w:t>
      </w:r>
    </w:p>
    <w:p>
      <w:pPr>
        <w:pStyle w:val="FirstParagraph"/>
      </w:pPr>
      <w:r>
        <w:t xml:space="preserve">A recent example illustrating evolving dynamics involves implementation of greater autonomy measures for federal territories allowing Kuala Lumpur mayor and council members greater flexibility managing local affairs previously reserved federal government control. This reform aimed improve responsiveness addressing concerns specific to urban environment unlike broader national policies crafted without sufficient understanding regional nuances.</w:t>
      </w:r>
    </w:p>
    <w:p>
      <w:pPr>
        <w:pStyle w:val="BodyText"/>
      </w:pPr>
      <w:r>
        <w:t xml:space="preserve">The success of this initiative depends largely upon capacity building initiatives training programs designed equip newly empowered politician with skills needed manage complex urban systems effectively. Early results indicate improved service delivery metrics including faster response times reported complaints more efficient allocation resources toward priority areas identified through community consultations conducted digitally offline simultaneously reaching broader segments population.</w:t>
      </w:r>
    </w:p>
    <w:bookmarkEnd w:id="24"/>
    <w:bookmarkStart w:id="25" w:name="vi.-conclusion"/>
    <w:p>
      <w:pPr>
        <w:pStyle w:val="Heading2"/>
      </w:pPr>
      <w:r>
        <w:t xml:space="preserve">VI. Conclusion</w:t>
      </w:r>
    </w:p>
    <w:p>
      <w:pPr>
        <w:pStyle w:val="FirstParagraph"/>
      </w:pPr>
      <w:r>
        <w:t xml:space="preserve">In conclusion the political landscape of Malaysia Kuala Lumpur continues evolve reflecting both global trends toward participatory governance and unique local characteristics shaped by historical legacies demographic composition economic priorities. The role politician remains central ensuring equitable development maintaining social harmony promoting transparency accountability despite numerous obstacles ranging from institutional inertia societal fragmentation external shocks like pandemic impacts.</w:t>
      </w:r>
    </w:p>
    <w:p>
      <w:pPr>
        <w:pStyle w:val="BodyText"/>
      </w:pPr>
      <w:r>
        <w:t xml:space="preserve">Future research directions should focus longitudinal studies tracking effectiveness reforms implemented over extended periods comparing outcomes across different federal territories within Malaysia Kuala Lumpur alongside Selangor Penang provide deeper understanding optimal models urban governance suitable diverse contexts throughout Southeast Asia region. Ultimately fostering strong democratic institutions capable adapting swiftly changing circumstances ensuring sustainable prosperity future generations remains paramount goal all stakeholders involved shaping destiny vibrant capital city of Malaysia Kuala Lumpur today tomorrow.</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and Governance in Malaysia Kuala Lumpur: An Academic Analysis</dc:title>
  <dc:creator/>
  <dc:language>en</dc:language>
  <cp:keywords/>
  <dcterms:created xsi:type="dcterms:W3CDTF">2026-07-29T13:07:16Z</dcterms:created>
  <dcterms:modified xsi:type="dcterms:W3CDTF">2026-07-29T13:07:16Z</dcterms:modified>
</cp:coreProperties>
</file>

<file path=docProps/custom.xml><?xml version="1.0" encoding="utf-8"?>
<Properties xmlns="http://schemas.openxmlformats.org/officeDocument/2006/custom-properties" xmlns:vt="http://schemas.openxmlformats.org/officeDocument/2006/docPropsVTypes"/>
</file>