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and</w:t>
      </w:r>
      <w:r>
        <w:t xml:space="preserve"> </w:t>
      </w:r>
      <w:r>
        <w:t xml:space="preserve">Governance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bookmarkStart w:id="27" w:name="X38a6dec5e3be6fc5df1f561acbe7fd005367910"/>
    <w:p>
      <w:pPr>
        <w:pStyle w:val="Heading1"/>
      </w:pPr>
      <w:r>
        <w:t xml:space="preserve">The Evolution of Political Representation and Governance in Saudi Arabia: A Case Study of Riyadh</w:t>
      </w:r>
    </w:p>
    <w:p>
      <w:pPr>
        <w:pStyle w:val="FirstParagraph"/>
      </w:pPr>
      <w:r>
        <w:rPr>
          <w:bCs/>
          <w:b/>
        </w:rPr>
        <w:t xml:space="preserve">Abstract:</w:t>
      </w:r>
      <w:r>
        <w:t xml:space="preserve"> </w:t>
      </w:r>
      <w:r>
        <w:t xml:space="preserve">This article examines the transformative role of the politician within the modernizing framework of</w:t>
      </w:r>
      <w:r>
        <w:t xml:space="preserve"> </w:t>
      </w:r>
      <w:r>
        <w:rPr>
          <w:bCs/>
          <w:b/>
        </w:rPr>
        <w:t xml:space="preserve">Saudi Arabia</w:t>
      </w:r>
      <w:r>
        <w:t xml:space="preserve">, with a specific focus on its capital,</w:t>
      </w:r>
      <w:r>
        <w:t xml:space="preserve"> </w:t>
      </w:r>
      <w:r>
        <w:rPr>
          <w:bCs/>
          <w:b/>
        </w:rPr>
        <w:t xml:space="preserve">Riyadh</w:t>
      </w:r>
      <w:r>
        <w:t xml:space="preserve">. As Vision 2030 reshapes the socio-political landscape, traditional political structures are adapting to accommodate new demands for efficiency, transparency, and civic engagement. This paper analyzes how contemporary politicians in Riyadh navigate the intersection of Islamic tradition and modern bureaucratic requirements. By employing a qualitative analysis of recent municipal reforms and public administration strategies in</w:t>
      </w:r>
      <w:r>
        <w:t xml:space="preserve"> </w:t>
      </w:r>
      <w:r>
        <w:rPr>
          <w:bCs/>
          <w:b/>
        </w:rPr>
        <w:t xml:space="preserve">Riyadh</w:t>
      </w:r>
      <w:r>
        <w:t xml:space="preserve">, this study highlights the shift from purely advisory roles to more active policy implementation functions. The findings suggest that while political agency remains constrained by monarchical authority, there is a discernible evolution toward technocratic governance where</w:t>
      </w:r>
      <w:r>
        <w:t xml:space="preserve"> </w:t>
      </w:r>
      <w:r>
        <w:rPr>
          <w:bCs/>
          <w:b/>
        </w:rPr>
        <w:t xml:space="preserve">politicians</w:t>
      </w:r>
      <w:r>
        <w:t xml:space="preserve"> </w:t>
      </w:r>
      <w:r>
        <w:t xml:space="preserve">act as critical intermediaries between state objectives and citizen welfare.</w:t>
      </w:r>
    </w:p>
    <w:p>
      <w:pPr>
        <w:pStyle w:val="BodyText"/>
      </w:pPr>
      <w:r>
        <w:rPr>
          <w:bCs/>
          <w:b/>
        </w:rPr>
        <w:t xml:space="preserve">Keywords:</w:t>
      </w:r>
      <w:r>
        <w:t xml:space="preserve"> </w:t>
      </w:r>
      <w:r>
        <w:t xml:space="preserve">Saudi Arabia, Riyadh, Politician, Vision 2030, Governance, Political Representation.</w:t>
      </w:r>
    </w:p>
    <w:bookmarkStart w:id="20" w:name="i.-introduction"/>
    <w:p>
      <w:pPr>
        <w:pStyle w:val="Heading2"/>
      </w:pPr>
      <w:r>
        <w:t xml:space="preserve">I. Introduction</w:t>
      </w:r>
    </w:p>
    <w:p>
      <w:pPr>
        <w:pStyle w:val="FirstParagraph"/>
      </w:pPr>
      <w:r>
        <w:t xml:space="preserve">The political architecture of</w:t>
      </w:r>
      <w:r>
        <w:t xml:space="preserve"> </w:t>
      </w:r>
      <w:r>
        <w:rPr>
          <w:bCs/>
          <w:b/>
        </w:rPr>
        <w:t xml:space="preserve">Saudi Arabia</w:t>
      </w:r>
      <w:r>
        <w:t xml:space="preserve"> </w:t>
      </w:r>
      <w:r>
        <w:t xml:space="preserve">has historically been characterized by a centralized monarchy supported by a network of tribal alliances and religious institutions. However the rapid urbanization and economic diversification targeted under Vision 203 have necessitated significant adjustments in how governance is executed particularly within major urban centers.</w:t>
      </w:r>
      <w:r>
        <w:t xml:space="preserve"> </w:t>
      </w:r>
      <w:r>
        <w:rPr>
          <w:bCs/>
          <w:b/>
        </w:rPr>
        <w:t xml:space="preserve">Riyadh</w:t>
      </w:r>
      <w:r>
        <w:t xml:space="preserve"> </w:t>
      </w:r>
      <w:r>
        <w:t xml:space="preserve">the capital serves as the epicenter for these changes acting not only as the administrative heart of</w:t>
      </w:r>
      <w:r>
        <w:t xml:space="preserve"> </w:t>
      </w:r>
      <w:r>
        <w:rPr>
          <w:bCs/>
          <w:b/>
        </w:rPr>
        <w:t xml:space="preserve">Saudi Arabia</w:t>
      </w:r>
      <w:r>
        <w:t xml:space="preserve"> </w:t>
      </w:r>
      <w:r>
        <w:t xml:space="preserve">but also as a testing ground for new political paradigms. The role of the</w:t>
      </w:r>
      <w:r>
        <w:t xml:space="preserve"> </w:t>
      </w:r>
      <w:r>
        <w:rPr>
          <w:bCs/>
          <w:b/>
        </w:rPr>
        <w:t xml:space="preserve">politician</w:t>
      </w:r>
      <w:r>
        <w:t xml:space="preserve"> </w:t>
      </w:r>
      <w:r>
        <w:t xml:space="preserve">in this context is undergoing a profound transformation driven by both internal reformist pressures and external global expectations.</w:t>
      </w:r>
    </w:p>
    <w:p>
      <w:pPr>
        <w:pStyle w:val="BodyText"/>
      </w:pPr>
      <w:r>
        <w:t xml:space="preserve">In traditional interpretations of politics within</w:t>
      </w:r>
      <w:r>
        <w:t xml:space="preserve"> </w:t>
      </w:r>
      <w:r>
        <w:rPr>
          <w:bCs/>
          <w:b/>
        </w:rPr>
        <w:t xml:space="preserve">Saudi Arabia</w:t>
      </w:r>
      <w:r>
        <w:t xml:space="preserve">, politicians often functioned more as liaisons or mediators rather than independent policy makers. However the complexity of modern urban management requires a different skill set emphasizing data-driven decision-making public relations and strategic planning. This article seeks to explore how the definition of a</w:t>
      </w:r>
      <w:r>
        <w:t xml:space="preserve"> </w:t>
      </w:r>
      <w:r>
        <w:rPr>
          <w:bCs/>
          <w:b/>
        </w:rPr>
        <w:t xml:space="preserve">politician</w:t>
      </w:r>
      <w:r>
        <w:t xml:space="preserve"> </w:t>
      </w:r>
      <w:r>
        <w:t xml:space="preserve">in Riyadh is expanding to include elements of technocratic expertise while maintaining legitimacy through traditional values.</w:t>
      </w:r>
    </w:p>
    <w:bookmarkEnd w:id="20"/>
    <w:bookmarkStart w:id="21" w:name="X4ace3b2b720bbe3e95273008295f8909f6e34b4"/>
    <w:p>
      <w:pPr>
        <w:pStyle w:val="Heading2"/>
      </w:pPr>
      <w:r>
        <w:t xml:space="preserve">II. The Contextual Framework: Vision 2030 and Urban Governance</w:t>
      </w:r>
    </w:p>
    <w:p>
      <w:pPr>
        <w:pStyle w:val="FirstParagraph"/>
      </w:pPr>
      <w:r>
        <w:t xml:space="preserve">Vision 2030 represents a comprehensive roadmap aimed at reducing</w:t>
      </w:r>
      <w:r>
        <w:t xml:space="preserve"> </w:t>
      </w:r>
      <w:r>
        <w:rPr>
          <w:bCs/>
          <w:b/>
        </w:rPr>
        <w:t xml:space="preserve">Saudi Arabia's</w:t>
      </w:r>
      <w:r>
        <w:t xml:space="preserve"> </w:t>
      </w:r>
      <w:r>
        <w:t xml:space="preserve">dependence on oil diversifying the economy and improving public services. For Riyadh this translates into massive infrastructure projects smart city initiatives and enhanced quality of life programs. Consequently the politicians operating within Riyadh must possess a nuanced understanding of urban planning economic development and social dynamics.</w:t>
      </w:r>
    </w:p>
    <w:p>
      <w:pPr>
        <w:pStyle w:val="BodyText"/>
      </w:pPr>
      <w:r>
        <w:t xml:space="preserve">The municipality of</w:t>
      </w:r>
      <w:r>
        <w:t xml:space="preserve"> </w:t>
      </w:r>
      <w:r>
        <w:rPr>
          <w:bCs/>
          <w:b/>
        </w:rPr>
        <w:t xml:space="preserve">Riyadh</w:t>
      </w:r>
      <w:r>
        <w:t xml:space="preserve"> </w:t>
      </w:r>
      <w:r>
        <w:t xml:space="preserve">has seen an increase in delegated powers allowing local officials greater autonomy in addressing civic issues such as waste management traffic congestion and housing availability. This decentralization is a critical aspect of modern political practice in</w:t>
      </w:r>
      <w:r>
        <w:t xml:space="preserve"> </w:t>
      </w:r>
      <w:r>
        <w:rPr>
          <w:bCs/>
          <w:b/>
        </w:rPr>
        <w:t xml:space="preserve">Saudi Arabia</w:t>
      </w:r>
      <w:r>
        <w:t xml:space="preserve"> </w:t>
      </w:r>
      <w:r>
        <w:t xml:space="preserve">as it empowers individual politicians to demonstrate tangible results to their constituents. Unlike previous decades where policy was strictly dictated from the royal court today's politicians are expected to engage more directly with urban challenges showcasing their capability for problem-solving and leadership.</w:t>
      </w:r>
    </w:p>
    <w:bookmarkEnd w:id="21"/>
    <w:bookmarkStart w:id="22" w:name="X17a0335144cd1ad6daa3021abf57bbae481fdb0"/>
    <w:p>
      <w:pPr>
        <w:pStyle w:val="Heading2"/>
      </w:pPr>
      <w:r>
        <w:t xml:space="preserve">III. The Changing Role of the Politician in Riyadh</w:t>
      </w:r>
    </w:p>
    <w:p>
      <w:pPr>
        <w:pStyle w:val="FirstParagraph"/>
      </w:pPr>
      <w:r>
        <w:t xml:space="preserve">Historically political participation in</w:t>
      </w:r>
      <w:r>
        <w:t xml:space="preserve"> </w:t>
      </w:r>
      <w:r>
        <w:rPr>
          <w:bCs/>
          <w:b/>
        </w:rPr>
        <w:t xml:space="preserve">Saudi Arabia</w:t>
      </w:r>
      <w:r>
        <w:t xml:space="preserve"> </w:t>
      </w:r>
      <w:r>
        <w:t xml:space="preserve">was limited largely through consultative bodies such as the Shura Council. While these bodies have gained some legislative oversight powers they remain advisory to the King. Nevertheless within this framework politicians in Riyadh are increasingly taking on roles that resemble those of local government officials found elsewhere. They are involved in budget allocation community development projects and public service delivery.</w:t>
      </w:r>
    </w:p>
    <w:p>
      <w:pPr>
        <w:pStyle w:val="BodyText"/>
      </w:pPr>
      <w:r>
        <w:t xml:space="preserve">One significant development is the integration of women into political and administrative roles which reflects broader societal changes. The appointment of women to high-ranking positions within the</w:t>
      </w:r>
      <w:r>
        <w:t xml:space="preserve"> </w:t>
      </w:r>
      <w:r>
        <w:rPr>
          <w:bCs/>
          <w:b/>
        </w:rPr>
        <w:t xml:space="preserve">Riyadh</w:t>
      </w:r>
      <w:r>
        <w:t xml:space="preserve"> </w:t>
      </w:r>
      <w:r>
        <w:t xml:space="preserve">Municipality and other governmental entities marks a pivotal moment in the political history of</w:t>
      </w:r>
      <w:r>
        <w:t xml:space="preserve"> </w:t>
      </w:r>
      <w:r>
        <w:rPr>
          <w:bCs/>
          <w:b/>
        </w:rPr>
        <w:t xml:space="preserve">Saudi Arabia</w:t>
      </w:r>
      <w:r>
        <w:t xml:space="preserve">. These female politicians are navigating new spaces contributing diverse perspectives to governance and challenging traditional gender norms while adhering to cultural sensitivities.</w:t>
      </w:r>
    </w:p>
    <w:p>
      <w:pPr>
        <w:pStyle w:val="BodyText"/>
      </w:pPr>
      <w:r>
        <w:t xml:space="preserve">Furthermore the rise of digital platforms has transformed how politicians communicate with citizens. In Riyadh social media engagement is now a standard component of political strategy allowing officials to bypass traditional mediators and speak directly to the populace. This direct line of communication enhances accountability and forces politicians to be more responsive to public opinion regarding local issues such as environmental sustainability and transportation infrastructure.</w:t>
      </w:r>
    </w:p>
    <w:bookmarkEnd w:id="22"/>
    <w:bookmarkStart w:id="23" w:name="iv.-challenges-and-opportunities"/>
    <w:p>
      <w:pPr>
        <w:pStyle w:val="Heading2"/>
      </w:pPr>
      <w:r>
        <w:t xml:space="preserve">IV. Challenges and Opportunities</w:t>
      </w:r>
    </w:p>
    <w:p>
      <w:pPr>
        <w:pStyle w:val="FirstParagraph"/>
      </w:pPr>
      <w:r>
        <w:t xml:space="preserve">Despite these advancements several challenges persist for politicians in Riyadh. The primary challenge lies in balancing modernization with tradition. There is often tension between progressive reforms aimed at attracting foreign investment and maintaining the conservative social fabric that underpins societal stability. Politicians must carefully navigate this delicate equilibrium ensuring that changes are perceived as legitimate enhancements rather than disruptive innovations.</w:t>
      </w:r>
    </w:p>
    <w:p>
      <w:pPr>
        <w:pStyle w:val="BodyText"/>
      </w:pPr>
      <w:r>
        <w:t xml:space="preserve">Another challenge is the capacity building required to support these evolving roles. As political responsibilities become more complex there is a pressing need for training programs that equip current and future politicians with skills in public administration strategic communication and crisis management. The government has initiated several academies and workshops aimed at addressing this gap highlighting the recognition of human capital development as a cornerstone of effective governance.</w:t>
      </w:r>
    </w:p>
    <w:p>
      <w:pPr>
        <w:pStyle w:val="BodyText"/>
      </w:pPr>
      <w:r>
        <w:t xml:space="preserve">Moreover the expectation for transparency and anti-corruption measures places additional pressure on politicians. In an era where information is readily accessible any lapse in ethical conduct can severely damage political credibility. Therefore maintaining high standards of integrity is not just a moral imperative but a practical necessity for sustained political capital in Riyadh.</w:t>
      </w:r>
    </w:p>
    <w:bookmarkEnd w:id="23"/>
    <w:bookmarkStart w:id="24" w:name="v.-case-study-the-smart-city-initiative"/>
    <w:p>
      <w:pPr>
        <w:pStyle w:val="Heading2"/>
      </w:pPr>
      <w:r>
        <w:t xml:space="preserve">V. Case Study: The Smart City Initiative</w:t>
      </w:r>
    </w:p>
    <w:p>
      <w:pPr>
        <w:pStyle w:val="FirstParagraph"/>
      </w:pPr>
      <w:r>
        <w:t xml:space="preserve">A pertinent example of the evolving politician role can be observed in</w:t>
      </w:r>
      <w:r>
        <w:t xml:space="preserve"> </w:t>
      </w:r>
      <w:r>
        <w:rPr>
          <w:bCs/>
          <w:b/>
        </w:rPr>
        <w:t xml:space="preserve">Riyadh’s</w:t>
      </w:r>
      <w:r>
        <w:t xml:space="preserve"> </w:t>
      </w:r>
      <w:r>
        <w:t xml:space="preserve">Smart City initiative. Politicians overseeing this project are required to collaborate with international tech firms local startups and academic institutions. This multidimensional collaboration demands that politicians act not just as administrators but as facilitators of innovation ecosystems. They must negotiate contracts manage public expectations and ensure that technological advancements benefit all segments of society without exacerbating social inequalities.</w:t>
      </w:r>
    </w:p>
    <w:p>
      <w:pPr>
        <w:pStyle w:val="BodyText"/>
      </w:pPr>
      <w:r>
        <w:t xml:space="preserve">The success of such initiatives often hinges on the politician’s ability to secure public buy-in. Through town hall meetings digital surveys and community outreach programs Riyadh’s political leaders are learning to incorporate citizen feedback into their policy frameworks. This participatory approach signifies a shift towards more inclusive political practices where the</w:t>
      </w:r>
      <w:r>
        <w:t xml:space="preserve"> </w:t>
      </w:r>
      <w:r>
        <w:rPr>
          <w:bCs/>
          <w:b/>
        </w:rPr>
        <w:t xml:space="preserve">politician</w:t>
      </w:r>
      <w:r>
        <w:t xml:space="preserve"> </w:t>
      </w:r>
      <w:r>
        <w:t xml:space="preserve">serves as a representative of collective aspirations rather than merely an implementer of top-down directives.</w:t>
      </w:r>
    </w:p>
    <w:bookmarkEnd w:id="24"/>
    <w:bookmarkStart w:id="25" w:name="vi.-conclusion"/>
    <w:p>
      <w:pPr>
        <w:pStyle w:val="Heading2"/>
      </w:pPr>
      <w:r>
        <w:t xml:space="preserve">VI. Conclusion</w:t>
      </w:r>
    </w:p>
    <w:p>
      <w:pPr>
        <w:pStyle w:val="FirstParagraph"/>
      </w:pPr>
      <w:r>
        <w:t xml:space="preserve">The trajectory of political evolution in</w:t>
      </w:r>
      <w:r>
        <w:t xml:space="preserve"> </w:t>
      </w:r>
      <w:r>
        <w:rPr>
          <w:bCs/>
          <w:b/>
        </w:rPr>
        <w:t xml:space="preserve">Saudi Arabia</w:t>
      </w:r>
      <w:r>
        <w:t xml:space="preserve">, particularly within Riyadh, indicates a gradual but steady move toward more sophisticated and responsive governance structures. The modern politician in Riyadh is no longer confined to traditional advisory roles but is emerging as a key driver of urban transformation and social progress. While operating within the bounds of monarchical authority these individuals are leveraging new tools methodologies and participatory mechanisms to enhance public service delivery.</w:t>
      </w:r>
    </w:p>
    <w:p>
      <w:pPr>
        <w:pStyle w:val="BodyText"/>
      </w:pPr>
      <w:r>
        <w:t xml:space="preserve">As</w:t>
      </w:r>
      <w:r>
        <w:t xml:space="preserve"> </w:t>
      </w:r>
      <w:r>
        <w:rPr>
          <w:bCs/>
          <w:b/>
        </w:rPr>
        <w:t xml:space="preserve">Saudi Arabia</w:t>
      </w:r>
      <w:r>
        <w:t xml:space="preserve"> </w:t>
      </w:r>
      <w:r>
        <w:t xml:space="preserve">continues its journey toward Vision 2030 the role of the politician will likely continue to expand encompassing broader responsibilities in economic diversification social cohesion and international engagement. Understanding this evolution is crucial for scholars policymakers and stakeholders interested in the future of governance in the region. The experiences of</w:t>
      </w:r>
      <w:r>
        <w:t xml:space="preserve"> </w:t>
      </w:r>
      <w:r>
        <w:rPr>
          <w:bCs/>
          <w:b/>
        </w:rPr>
        <w:t xml:space="preserve">Riyadh</w:t>
      </w:r>
      <w:r>
        <w:t xml:space="preserve"> </w:t>
      </w:r>
      <w:r>
        <w:t xml:space="preserve">offer valuable insights into how traditional societies can adapt their political institutions to meet contemporary challenges while preserving core cultural values.</w:t>
      </w:r>
    </w:p>
    <w:bookmarkEnd w:id="25"/>
    <w:bookmarkStart w:id="26" w:name="vii.-references"/>
    <w:p>
      <w:pPr>
        <w:pStyle w:val="Heading2"/>
      </w:pPr>
      <w:r>
        <w:t xml:space="preserve">VII. References</w:t>
      </w:r>
    </w:p>
    <w:p>
      <w:pPr>
        <w:numPr>
          <w:ilvl w:val="0"/>
          <w:numId w:val="1001"/>
        </w:numPr>
        <w:pStyle w:val="Compact"/>
      </w:pPr>
      <w:r>
        <w:t xml:space="preserve">Al-Rasheed M (2023)</w:t>
      </w:r>
      <w:r>
        <w:t xml:space="preserve"> </w:t>
      </w:r>
      <w:r>
        <w:rPr>
          <w:iCs/>
          <w:i/>
        </w:rPr>
        <w:t xml:space="preserve">Modernizing Saudi Arabia: Politics and Society</w:t>
      </w:r>
      <w:r>
        <w:t xml:space="preserve">. Oxford University Press.</w:t>
      </w:r>
    </w:p>
    <w:p>
      <w:pPr>
        <w:numPr>
          <w:ilvl w:val="0"/>
          <w:numId w:val="1001"/>
        </w:numPr>
        <w:pStyle w:val="Compact"/>
      </w:pPr>
      <w:r>
        <w:t xml:space="preserve">Royal Court of Saudi Arabia (2024) Vision 2030 Progress Report. Riyadh Government Publications.</w:t>
      </w:r>
    </w:p>
    <w:p>
      <w:pPr>
        <w:numPr>
          <w:ilvl w:val="0"/>
          <w:numId w:val="1001"/>
        </w:numPr>
        <w:pStyle w:val="Compact"/>
      </w:pPr>
      <w:r>
        <w:t xml:space="preserve">Smith J (ed.) (2021) Urban Governance in the Middle East. Cambridge Academic Press.</w:t>
      </w:r>
    </w:p>
    <w:p>
      <w:pPr>
        <w:numPr>
          <w:ilvl w:val="0"/>
          <w:numId w:val="1001"/>
        </w:numPr>
        <w:pStyle w:val="Compact"/>
      </w:pPr>
      <w:r>
        <w:t xml:space="preserve">King Abdulaziz Center for National Dialogue Reports on Municipal Reforms.</w:t>
      </w:r>
    </w:p>
    <w:p>
      <w:pPr>
        <w:pStyle w:val="FirstParagraph"/>
      </w:pPr>
      <w:r>
        <w:rPr>
          <w:iCs/>
          <w:i/>
        </w:rPr>
        <w:t xml:space="preserve">Note: This document is a simulated academic article generated for illustrative purposes based on the provided instructions and general knowledge about governance trends in Saudi Arabia as of early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and Governance in Saudi Arabia: A Case Study of Riyadh</dc:title>
  <dc:creator/>
  <dc:language>en</dc:language>
  <cp:keywords/>
  <dcterms:created xsi:type="dcterms:W3CDTF">2026-07-29T23:08:02Z</dcterms:created>
  <dcterms:modified xsi:type="dcterms:W3CDTF">2026-07-29T23:08:02Z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