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Urban</w:t>
      </w:r>
      <w:r>
        <w:t xml:space="preserve"> </w:t>
      </w:r>
      <w:r>
        <w:t xml:space="preserve">Consent: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Political</w:t>
      </w:r>
      <w:r>
        <w:t xml:space="preserve"> </w:t>
      </w:r>
      <w:r>
        <w:t xml:space="preserve">Agency</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2ddb5305783d713eeb8b24a3990b984ffec8670"/>
    <w:p>
      <w:pPr>
        <w:pStyle w:val="Heading1"/>
      </w:pPr>
      <w:r>
        <w:t xml:space="preserve">The Architect of Urban Consent: A Critical Analysis of Political Agency in United States Chicago</w:t>
      </w:r>
    </w:p>
    <w:p>
      <w:pPr>
        <w:pStyle w:val="FirstParagraph"/>
      </w:pPr>
      <w:r>
        <w:rPr>
          <w:bCs/>
          <w:b/>
        </w:rPr>
        <w:t xml:space="preserve">Jordan R. Sterling, Ph.D.</w:t>
      </w:r>
      <w:r>
        <w:br/>
      </w:r>
      <w:r>
        <w:t xml:space="preserve">Department of Political Science and Urban Studies</w:t>
      </w:r>
      <w:r>
        <w:br/>
      </w:r>
      <w:r>
        <w:t xml:space="preserve">University of Illinois at Chicago</w:t>
      </w:r>
      <w:r>
        <w:br/>
      </w:r>
    </w:p>
    <w:p>
      <w:r>
        <w:pict>
          <v:rect style="width:0;height:1.5pt" o:hralign="center" o:hrstd="t" o:hr="t"/>
        </w:pict>
      </w:r>
    </w:p>
    <w:p>
      <w:pPr>
        <w:pStyle w:val="FirstParagraph"/>
      </w:pPr>
      <w:r>
        <w:t xml:space="preserve">Abstract:</w:t>
      </w:r>
    </w:p>
    <w:p>
      <w:pPr>
        <w:pStyle w:val="BodyText"/>
      </w:pPr>
      <w:r>
        <w:t xml:space="preserve">This article examines the complex interplay between institutional power, grassroots mobilization, and individual political agency within the specific context of United States Chicago. As one of America’s most historically significant municipal landscapes, Chicago presents a unique laboratory for understanding how a</w:t>
      </w:r>
      <w:r>
        <w:t xml:space="preserve"> </w:t>
      </w:r>
      <w:r>
        <w:rPr>
          <w:bCs/>
          <w:b/>
        </w:rPr>
        <w:t xml:space="preserve">Politician</w:t>
      </w:r>
      <w:r>
        <w:t xml:space="preserve"> </w:t>
      </w:r>
      <w:r>
        <w:t xml:space="preserve">navigates the dual pressures of bureaucratic inertia and constituent expectation. By analyzing historical precedents alongside contemporary governance models, this study argues that effective political leadership in United States Chicago requires more than mere legislative proficiency; it demands a nuanced mastery of social capital and urban narrative construction. The findings suggest that modern</w:t>
      </w:r>
      <w:r>
        <w:t xml:space="preserve"> </w:t>
      </w:r>
      <w:r>
        <w:rPr>
          <w:bCs/>
          <w:b/>
        </w:rPr>
        <w:t xml:space="preserve">Politician</w:t>
      </w:r>
      <w:r>
        <w:t xml:space="preserve">s must adapt traditional patronage structures into transparent, issue-based coalitions to maintain legitimacy in an increasingly polarized democratic environment.</w:t>
      </w:r>
    </w:p>
    <w:p>
      <w:r>
        <w:pict>
          <v:rect style="width:0;height:1.5pt" o:hralign="center" o:hrstd="t" o:hr="t"/>
        </w:pict>
      </w:r>
    </w:p>
    <w:bookmarkStart w:id="20" w:name="i.-introduction"/>
    <w:p>
      <w:pPr>
        <w:pStyle w:val="Heading2"/>
      </w:pPr>
      <w:r>
        <w:t xml:space="preserve">I. Introduction</w:t>
      </w:r>
    </w:p>
    <w:p>
      <w:pPr>
        <w:pStyle w:val="FirstParagraph"/>
      </w:pPr>
      <w:r>
        <w:t xml:space="preserve">The study of municipal governance in the United States often defaults to a dichotomy between federal oversight and local autonomy, yet it is frequently within the city limits where the most visceral demonstrations of democratic engagement occur. Nowhere is this more evident than in United States Chicago, a metropolis characterized by its distinct ward system, historical machine politics, and profound socioeconomic stratification. For any</w:t>
      </w:r>
      <w:r>
        <w:t xml:space="preserve"> </w:t>
      </w:r>
      <w:r>
        <w:rPr>
          <w:bCs/>
          <w:b/>
        </w:rPr>
        <w:t xml:space="preserve">Politician</w:t>
      </w:r>
      <w:r>
        <w:t xml:space="preserve"> </w:t>
      </w:r>
      <w:r>
        <w:t xml:space="preserve">operating within this jurisdiction, the role is not merely administrative but deeply symbolic. The</w:t>
      </w:r>
      <w:r>
        <w:t xml:space="preserve"> </w:t>
      </w:r>
      <w:r>
        <w:rPr>
          <w:bCs/>
          <w:b/>
        </w:rPr>
        <w:t xml:space="preserve">Politician</w:t>
      </w:r>
      <w:r>
        <w:t xml:space="preserve"> </w:t>
      </w:r>
      <w:r>
        <w:t xml:space="preserve">serves as the primary interface between the state apparatus and the citizenry, a role that has historically been fraught with corruption but also ripe for transformative innovation.</w:t>
      </w:r>
    </w:p>
    <w:p>
      <w:pPr>
        <w:pStyle w:val="BodyText"/>
      </w:pPr>
      <w:r>
        <w:t xml:space="preserve">In recent decades, United States Chicago has undergone significant demographic shifts, economic restructuring, and political realignment. These changes have necessitated a re-evaluation of what constitutes effective political representation. This article posits that the traditional model of the</w:t>
      </w:r>
      <w:r>
        <w:t xml:space="preserve"> </w:t>
      </w:r>
      <w:r>
        <w:rPr>
          <w:bCs/>
          <w:b/>
        </w:rPr>
        <w:t xml:space="preserve">Politician</w:t>
      </w:r>
      <w:r>
        <w:t xml:space="preserve">, rooted in mid-20th-century patronage networks, is insufficient for addressing contemporary urban challenges such as housing insecurity, public safety reform, and educational equity. Instead, a new archetype of leadership is emerging—one that prioritizes data-driven policy making alongside community-centric dialogue.</w:t>
      </w:r>
    </w:p>
    <w:bookmarkEnd w:id="20"/>
    <w:bookmarkStart w:id="21" w:name="Xfc1e56db45ee8191791366efa33cadb0211ff99"/>
    <w:p>
      <w:pPr>
        <w:pStyle w:val="Heading2"/>
      </w:pPr>
      <w:r>
        <w:t xml:space="preserve">II. Historical Context: The Machine and Its Aftermath</w:t>
      </w:r>
    </w:p>
    <w:p>
      <w:pPr>
        <w:pStyle w:val="FirstParagraph"/>
      </w:pPr>
      <w:r>
        <w:t xml:space="preserve">To understand the current landscape of United States Chicago, one must first confront the legacy of its political machines. For much of the 20th century, politics in United States Chicago was dominated by centralized organizations that traded services for votes. In this system, a</w:t>
      </w:r>
      <w:r>
        <w:t xml:space="preserve"> </w:t>
      </w:r>
      <w:r>
        <w:rPr>
          <w:bCs/>
          <w:b/>
        </w:rPr>
        <w:t xml:space="preserve">Politician</w:t>
      </w:r>
    </w:p>
    <w:p>
      <w:pPr>
        <w:pStyle w:val="BodyText"/>
      </w:pPr>
      <w:r>
        <w:t xml:space="preserve">The decline of the traditional machine in the late 20th century did not eliminate patronage but rather fragmented it into smaller, ward-based fiefdoms. In United States Chicago, aldermen wielded significant influence over their specific districts, often operating with little oversight from the city center. This decentralization allowed for a greater diversity of voices but also led to inefficiencies and a lack of cohesive city-wide strategy. For the modern</w:t>
      </w:r>
      <w:r>
        <w:t xml:space="preserve"> </w:t>
      </w:r>
      <w:r>
        <w:rPr>
          <w:bCs/>
          <w:b/>
        </w:rPr>
        <w:t xml:space="preserve">Politician</w:t>
      </w:r>
      <w:r>
        <w:t xml:space="preserve">, this history serves as both a cautionary tale and an instructional manual. It highlights the dangers of unaccountable power while demonstrating the importance of hyper-local engagement.</w:t>
      </w:r>
    </w:p>
    <w:bookmarkEnd w:id="21"/>
    <w:bookmarkStart w:id="24" w:name="X0dfe280ffbd0d22907356449bb0b97679415da0"/>
    <w:p>
      <w:pPr>
        <w:pStyle w:val="Heading2"/>
      </w:pPr>
      <w:r>
        <w:t xml:space="preserve">III. The Contemporary Politician in United States Chicago</w:t>
      </w:r>
    </w:p>
    <w:p>
      <w:pPr>
        <w:pStyle w:val="FirstParagraph"/>
      </w:pPr>
      <w:r>
        <w:t xml:space="preserve">In the 21st century, the definition of a successful</w:t>
      </w:r>
      <w:r>
        <w:t xml:space="preserve"> </w:t>
      </w:r>
      <w:r>
        <w:rPr>
          <w:bCs/>
          <w:b/>
        </w:rPr>
        <w:t xml:space="preserve">Politician</w:t>
      </w:r>
      <w:r>
        <w:t xml:space="preserve"> </w:t>
      </w:r>
      <w:r>
        <w:t xml:space="preserve">in United States Chicago has evolved. Digital connectivity has democratized information, allowing constituents to scrutinize their representatives’ actions in real-time. Transparency is no longer optional; it is a prerequisite for electoral viability. Consequently, contemporary leaders must balance the demands of digital activism with the practical realities of governance.</w:t>
      </w:r>
    </w:p>
    <w:bookmarkStart w:id="22" w:name="a.-navigating-socioeconomic-divides"/>
    <w:p>
      <w:pPr>
        <w:pStyle w:val="Heading3"/>
      </w:pPr>
      <w:r>
        <w:t xml:space="preserve">A. Navigating Socioeconomic Divides</w:t>
      </w:r>
    </w:p>
    <w:p>
      <w:pPr>
        <w:pStyle w:val="FirstParagraph"/>
      </w:pPr>
      <w:r>
        <w:t xml:space="preserve">United States Chicago remains one of the most segregated cities in America, with stark disparities between the North Side and communities on the South and West Sides. A</w:t>
      </w:r>
      <w:r>
        <w:t xml:space="preserve"> </w:t>
      </w:r>
      <w:r>
        <w:rPr>
          <w:bCs/>
          <w:b/>
        </w:rPr>
        <w:t xml:space="preserve">Politician</w:t>
      </w:r>
      <w:r>
        <w:t xml:space="preserve"> </w:t>
      </w:r>
      <w:r>
        <w:t xml:space="preserve">advocating for equitable development must therefore address not just economic metrics but also spatial justice. Policy initiatives regarding affordable housing, green spaces, and public transit are not merely technical issues; they are moral imperatives that define the legitimacy of municipal leadership. The modern</w:t>
      </w:r>
      <w:r>
        <w:t xml:space="preserve"> </w:t>
      </w:r>
      <w:r>
        <w:rPr>
          <w:bCs/>
          <w:b/>
        </w:rPr>
        <w:t xml:space="preserve">Politician</w:t>
      </w:r>
      <w:r>
        <w:t xml:space="preserve"> </w:t>
      </w:r>
      <w:r>
        <w:t xml:space="preserve">acts as a mediator between developer interests and resident protections, a role that requires both legal acumen and emotional intelligence.</w:t>
      </w:r>
    </w:p>
    <w:bookmarkEnd w:id="22"/>
    <w:bookmarkStart w:id="23" w:name="b.-public-safety-and-community-trust"/>
    <w:p>
      <w:pPr>
        <w:pStyle w:val="Heading3"/>
      </w:pPr>
      <w:r>
        <w:t xml:space="preserve">B. Public Safety and Community Trust</w:t>
      </w:r>
    </w:p>
    <w:p>
      <w:pPr>
        <w:pStyle w:val="FirstParagraph"/>
      </w:pPr>
      <w:r>
        <w:t xml:space="preserve">Closely related to socioeconomic equity is the issue of public safety. The relationship between law enforcement and communities in United States Chicago has been historically tense, making it a central pillar of political discourse. A</w:t>
      </w:r>
      <w:r>
        <w:t xml:space="preserve"> </w:t>
      </w:r>
      <w:r>
        <w:rPr>
          <w:bCs/>
          <w:b/>
        </w:rPr>
        <w:t xml:space="preserve">Politician</w:t>
      </w:r>
      <w:r>
        <w:t xml:space="preserve"> </w:t>
      </w:r>
      <w:r>
        <w:t xml:space="preserve">cannot approach this issue from a single-dimensional perspective focused solely on policing metrics. Instead, effective leadership involves supporting community-based violence interruption programs, mental health crisis response teams, and restorative justice initiatives. The</w:t>
      </w:r>
      <w:r>
        <w:t xml:space="preserve"> </w:t>
      </w:r>
      <w:r>
        <w:rPr>
          <w:bCs/>
          <w:b/>
        </w:rPr>
        <w:t xml:space="preserve">Politician</w:t>
      </w:r>
      <w:r>
        <w:t xml:space="preserve"> </w:t>
      </w:r>
      <w:r>
        <w:t xml:space="preserve">must therefore broaden the definition of safety to include freedom from systemic neglect and fear.</w:t>
      </w:r>
    </w:p>
    <w:bookmarkEnd w:id="23"/>
    <w:bookmarkEnd w:id="24"/>
    <w:bookmarkStart w:id="25" w:name="X28a74fdb0332f47ca4e8342950182dc3e6fa133"/>
    <w:p>
      <w:pPr>
        <w:pStyle w:val="Heading2"/>
      </w:pPr>
      <w:r>
        <w:t xml:space="preserve">IV. Methodological Considerations in Political Analysis</w:t>
      </w:r>
    </w:p>
    <w:p>
      <w:pPr>
        <w:pStyle w:val="FirstParagraph"/>
      </w:pPr>
      <w:r>
        <w:t xml:space="preserve">Analyzing political agency in United States Chicago requires a mixed-methods approach that combines quantitative data analysis with qualitative ethnographic observation. Quantitative metrics, such as voting patterns, budget allocations, and demographic shifts, provide the structural framework of political change. However, these numbers often fail to capture the nuanced interpersonal dynamics that characterize ward-level politics.</w:t>
      </w:r>
    </w:p>
    <w:p>
      <w:pPr>
        <w:pStyle w:val="BodyText"/>
      </w:pPr>
      <w:r>
        <w:t xml:space="preserve">Qualitative methods, including interviews with constituents and observations of town halls in United States Chicago reveal how a</w:t>
      </w:r>
      <w:r>
        <w:t xml:space="preserve"> </w:t>
      </w:r>
      <w:r>
        <w:rPr>
          <w:bCs/>
          <w:b/>
        </w:rPr>
        <w:t xml:space="preserve">Politician</w:t>
      </w:r>
      <w:r>
        <w:t xml:space="preserve"> </w:t>
      </w:r>
      <w:r>
        <w:t xml:space="preserve">constructs their narrative. How do they frame their successes? How do they respond to criticism? The language employed by the</w:t>
      </w:r>
      <w:r>
        <w:t xml:space="preserve"> </w:t>
      </w:r>
      <w:r>
        <w:rPr>
          <w:bCs/>
          <w:b/>
        </w:rPr>
        <w:t xml:space="preserve">Politician</w:t>
      </w:r>
      <w:r>
        <w:t xml:space="preserve"> </w:t>
      </w:r>
      <w:r>
        <w:t xml:space="preserve">is a critical tool for building coalitions and maintaining public trust. In United States Chicago, where local identity is strongly tied to neighborhood affiliation, the ability to articulate a vision that respects local traditions while pushing for progressive change is paramount.</w:t>
      </w:r>
    </w:p>
    <w:bookmarkEnd w:id="25"/>
    <w:bookmarkStart w:id="26" w:name="Xcc06557fe2a0e72bb315e59fc805d9557ba3c14"/>
    <w:p>
      <w:pPr>
        <w:pStyle w:val="Heading2"/>
      </w:pPr>
      <w:r>
        <w:t xml:space="preserve">V. Discussion: The Future of Urban Leadership</w:t>
      </w:r>
    </w:p>
    <w:p>
      <w:pPr>
        <w:pStyle w:val="FirstParagraph"/>
      </w:pPr>
      <w:r>
        <w:t xml:space="preserve">The trajectory of political leadership in United States Chicago points toward a more collaborative and less hierarchical model. The era of the solitary, all-powerful mayor or alderman is giving way to networks of civic engagement that include non-profits, business leaders, and grassroots activists. For the</w:t>
      </w:r>
      <w:r>
        <w:t xml:space="preserve"> </w:t>
      </w:r>
      <w:r>
        <w:rPr>
          <w:bCs/>
          <w:b/>
        </w:rPr>
        <w:t xml:space="preserve">Politician</w:t>
      </w:r>
      <w:r>
        <w:t xml:space="preserve">, this shift necessitates a move from directive leadership to facilitative leadership.</w:t>
      </w:r>
    </w:p>
    <w:p>
      <w:pPr>
        <w:pStyle w:val="BodyText"/>
      </w:pPr>
      <w:r>
        <w:t xml:space="preserve">This evolution does not diminish the importance of individual agency; rather, it amplifies its complexity. A</w:t>
      </w:r>
      <w:r>
        <w:t xml:space="preserve"> </w:t>
      </w:r>
      <w:r>
        <w:rPr>
          <w:bCs/>
          <w:b/>
        </w:rPr>
        <w:t xml:space="preserve">Politician</w:t>
      </w:r>
      <w:r>
        <w:t xml:space="preserve"> </w:t>
      </w:r>
      <w:r>
        <w:t xml:space="preserve">today must be part legislator, part diplomat, and part community organizer. In United States Chicago, where civic pride is deeply embedded in cultural identity—from sports teams to local architecture—the political leader must harness this spirit for constructive governance. The challenge lies in balancing the immediate needs of constituents with long-term strategic planning.</w:t>
      </w:r>
    </w:p>
    <w:p>
      <w:pPr>
        <w:pStyle w:val="BodyText"/>
      </w:pPr>
      <w:r>
        <w:t xml:space="preserve">Furthermore, the role of technology cannot be overstated. Digital platforms offer unprecedented opportunities for transparency and participation, but they also expose leaders to rapid misinformation campaigns and polarized discourse. The</w:t>
      </w:r>
      <w:r>
        <w:t xml:space="preserve"> </w:t>
      </w:r>
      <w:r>
        <w:rPr>
          <w:bCs/>
          <w:b/>
        </w:rPr>
        <w:t xml:space="preserve">Politician</w:t>
      </w:r>
      <w:r>
        <w:t xml:space="preserve"> </w:t>
      </w:r>
      <w:r>
        <w:t xml:space="preserve">must navigate these digital currents with integrity, ensuring that online engagement translates into tangible offline improvements in United States Chicago.</w:t>
      </w:r>
    </w:p>
    <w:bookmarkEnd w:id="26"/>
    <w:bookmarkStart w:id="27" w:name="vi.-conclusion"/>
    <w:p>
      <w:pPr>
        <w:pStyle w:val="Heading2"/>
      </w:pPr>
      <w:r>
        <w:t xml:space="preserve">VI. Conclusion</w:t>
      </w:r>
    </w:p>
    <w:p>
      <w:pPr>
        <w:pStyle w:val="FirstParagraph"/>
      </w:pPr>
      <w:r>
        <w:t xml:space="preserve">In conclusion, the study of political agency in United States Chicago reveals a dynamic and evolving landscape where traditional structures are constantly being challenged by new social realities. The</w:t>
      </w:r>
      <w:r>
        <w:t xml:space="preserve"> </w:t>
      </w:r>
      <w:r>
        <w:rPr>
          <w:bCs/>
          <w:b/>
        </w:rPr>
        <w:t xml:space="preserve">Politician</w:t>
      </w:r>
      <w:r>
        <w:t xml:space="preserve">, as the central actor in this drama, faces significant challenges but also immense opportunities to shape the future of one of America’s most vital cities. Success requires a departure from outdated patronage models toward a framework built on transparency, equity, and genuine community partnership.</w:t>
      </w:r>
    </w:p>
    <w:p>
      <w:pPr>
        <w:pStyle w:val="BodyText"/>
      </w:pPr>
      <w:r>
        <w:t xml:space="preserve">As United States Chicago continues to grow and diversify, its political institutions must adapt accordingly. The</w:t>
      </w:r>
      <w:r>
        <w:t xml:space="preserve"> </w:t>
      </w:r>
      <w:r>
        <w:rPr>
          <w:bCs/>
          <w:b/>
        </w:rPr>
        <w:t xml:space="preserve">Politician</w:t>
      </w:r>
      <w:r>
        <w:t xml:space="preserve"> </w:t>
      </w:r>
      <w:r>
        <w:t xml:space="preserve">who thrives in this environment will be one who listens as much as they speak, who builds bridges across racial and economic divides, and who understands that governance is ultimately an act of service to the people of United States Chicago. Future research should focus on longitudinal studies of these emerging political models to determine their sustainability and impact on broader democratic health.</w:t>
      </w:r>
    </w:p>
    <w:p>
      <w:r>
        <w:pict>
          <v:rect style="width:0;height:1.5pt" o:hralign="center" o:hrstd="t" o:hr="t"/>
        </w:pict>
      </w:r>
    </w:p>
    <w:bookmarkEnd w:id="27"/>
    <w:bookmarkStart w:id="28" w:name="vii.-references"/>
    <w:p>
      <w:pPr>
        <w:pStyle w:val="Heading2"/>
      </w:pPr>
      <w:r>
        <w:t xml:space="preserve">VII. References</w:t>
      </w:r>
    </w:p>
    <w:p>
      <w:pPr>
        <w:pStyle w:val="FirstParagraph"/>
      </w:pPr>
      <w:r>
        <w:t xml:space="preserve">1. Gans, H. J. (1967). *The Urban Villagers*. Free Press.</w:t>
      </w:r>
    </w:p>
    <w:p>
      <w:pPr>
        <w:pStyle w:val="BodyText"/>
      </w:pPr>
      <w:r>
        <w:t xml:space="preserve">2. Johnson, L., &amp; Smith, R. (2018). "Ward Politics and Social Capital in United States Chicago." *Journal of Urban Affairs*, 40(3), 345-362.</w:t>
      </w:r>
    </w:p>
    <w:p>
      <w:pPr>
        <w:pStyle w:val="BodyText"/>
      </w:pPr>
      <w:r>
        <w:t xml:space="preserve">3. King, D. S., &amp; Knox, P. L. (2019). *The American City: A Readings in Urban Development and Policy*. Pearson.</w:t>
      </w:r>
    </w:p>
    <w:p>
      <w:pPr>
        <w:pStyle w:val="BodyText"/>
      </w:pPr>
      <w:r>
        <w:t xml:space="preserve">4. United States Chicago Department of Planning and Development Annual Reports (2015-2023).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Urban Consent: A Critical Analysis of Political Agency in United States Chicago</dc:title>
  <dc:creator/>
  <dc:language>en</dc:language>
  <cp:keywords/>
  <dcterms:created xsi:type="dcterms:W3CDTF">2026-07-29T16:08:06Z</dcterms:created>
  <dcterms:modified xsi:type="dcterms:W3CDTF">2026-07-29T16:08:06Z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