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Professorial</w:t>
      </w:r>
      <w:r>
        <w:t xml:space="preserve"> </w:t>
      </w:r>
      <w:r>
        <w:t xml:space="preserve">Identity</w:t>
      </w:r>
      <w:r>
        <w:t xml:space="preserve"> </w:t>
      </w:r>
      <w:r>
        <w:t xml:space="preserve">in</w:t>
      </w:r>
      <w:r>
        <w:t xml:space="preserve"> </w:t>
      </w:r>
      <w:r>
        <w:t xml:space="preserve">Contemporary</w:t>
      </w:r>
      <w:r>
        <w:t xml:space="preserve"> </w:t>
      </w:r>
      <w:r>
        <w:t xml:space="preserve">Canadian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Vancouver</w:t>
      </w:r>
      <w:r>
        <w:t xml:space="preserve"> </w:t>
      </w:r>
      <w:r>
        <w:t xml:space="preserve">Context</w:t>
      </w:r>
    </w:p>
    <w:bookmarkStart w:id="29" w:name="Xae85d4a88fda477314bdeb44cd1c035de834c26"/>
    <w:p>
      <w:pPr>
        <w:pStyle w:val="Heading1"/>
      </w:pPr>
      <w:r>
        <w:t xml:space="preserve">The Evolving Paradigm of Professorial Identity in Contemporary Canadian Higher Education</w:t>
      </w:r>
    </w:p>
    <w:p>
      <w:pPr>
        <w:pStyle w:val="FirstParagraph"/>
      </w:pPr>
      <w:r>
        <w:rPr>
          <w:bCs/>
          <w:b/>
        </w:rPr>
        <w:t xml:space="preserve">A Case Study of the Vancouver Academic Landscape</w:t>
      </w:r>
    </w:p>
    <w:p>
      <w:pPr>
        <w:pStyle w:val="BodyText"/>
      </w:pPr>
      <w:r>
        <w:br/>
      </w:r>
      <w:r>
        <w:br/>
      </w:r>
      <w:r>
        <w:br/>
      </w:r>
      <w:r>
        <w:t xml:space="preserve">p style="text-align:center; font-style: italic;"&gt;Dr. Eleanor Vance, Department of Sociology, University of British Columbia</w:t>
      </w:r>
      <w:r>
        <w:br/>
      </w:r>
      <w:r>
        <w:t xml:space="preserve">Abstract:</w:t>
      </w:r>
    </w:p>
    <w:p>
      <w:pPr>
        <w:pStyle w:val="BodyText"/>
      </w:pPr>
      <w:r>
        <w:t xml:space="preserve">The role of the</w:t>
      </w:r>
      <w:r>
        <w:t xml:space="preserve"> </w:t>
      </w:r>
      <w:r>
        <w:rPr>
          <w:bCs/>
          <w:b/>
        </w:rPr>
        <w:t xml:space="preserve">Professor</w:t>
      </w:r>
      <w:r>
        <w:t xml:space="preserve"> </w:t>
      </w:r>
      <w:r>
        <w:t xml:space="preserve">in modern higher education has undergone a profound transformation over the last two decades. No longer solely defined by tenure-track stability and singular focus on disciplinary research, academics are now expected to navigate complex intersections of teaching excellence, community engagement, and administrative leadership. This article examines these shifting dynamics with a specific focus on</w:t>
      </w:r>
      <w:r>
        <w:t xml:space="preserve"> </w:t>
      </w:r>
      <w:r>
        <w:rPr>
          <w:bCs/>
          <w:b/>
        </w:rPr>
        <w:t xml:space="preserve">Canada Vancouver</w:t>
      </w:r>
      <w:r>
        <w:t xml:space="preserve">, a unique academic ecosystem characterized by its rapid demographic changes, strong ties to Asia-Pacific markets, and distinct environmental priorities. By analyzing institutional mandates at major institutions such as the University of British Columbia (UBC) and Simon Fraser University (SFU), this paper argues that the contemporary</w:t>
      </w:r>
      <w:r>
        <w:t xml:space="preserve"> </w:t>
      </w:r>
      <w:r>
        <w:rPr>
          <w:bCs/>
          <w:b/>
        </w:rPr>
        <w:t xml:space="preserve">Professor</w:t>
      </w:r>
      <w:r>
        <w:t xml:space="preserve"> </w:t>
      </w:r>
      <w:r>
        <w:t xml:space="preserve">in</w:t>
      </w:r>
      <w:r>
        <w:t xml:space="preserve"> </w:t>
      </w:r>
      <w:r>
        <w:rPr>
          <w:bCs/>
          <w:b/>
        </w:rPr>
        <w:t xml:space="preserve">Canada Vancouver</w:t>
      </w:r>
      <w:r>
        <w:t xml:space="preserve"> </w:t>
      </w:r>
      <w:r>
        <w:t xml:space="preserve">must embody a "tri-fold competency" model: scholarly rigor, pedagogical innovation, and civic responsibility. Failure to adapt to this holistic expectation risks marginalizing academic contributions in an increasingly metric-driven environment.</w:t>
      </w:r>
      <w:r>
        <w:br/>
      </w:r>
      <w:r>
        <w:br/>
      </w:r>
    </w:p>
    <w:bookmarkStart w:id="20" w:name="i.-introduction"/>
    <w:p>
      <w:pPr>
        <w:pStyle w:val="Heading2"/>
      </w:pPr>
      <w:r>
        <w:t xml:space="preserve">I. Introduction</w:t>
      </w:r>
    </w:p>
    <w:p>
      <w:pPr>
        <w:pStyle w:val="FirstParagraph"/>
      </w:pPr>
      <w:r>
        <w:t xml:space="preserve">The university system in Canada is renowned for its public funding model and commitment to accessible education, yet it faces mounting pressures from globalization and technological disruption. Within this national framework, the city of</w:t>
      </w:r>
      <w:r>
        <w:t xml:space="preserve"> </w:t>
      </w:r>
      <w:r>
        <w:rPr>
          <w:bCs/>
          <w:b/>
        </w:rPr>
        <w:t xml:space="preserve">Canada Vancouver</w:t>
      </w:r>
      <w:r>
        <w:t xml:space="preserve"> </w:t>
      </w:r>
      <w:r>
        <w:t xml:space="preserve">emerges as a critical node for academic innovation. As one of Canada’s most diverse metropolitan areas, it serves as a gateway between North America and the Pacific Rim. For the</w:t>
      </w:r>
      <w:r>
        <w:t xml:space="preserve"> </w:t>
      </w:r>
      <w:r>
        <w:rPr>
          <w:bCs/>
          <w:b/>
        </w:rPr>
        <w:t xml:space="preserve">Professor</w:t>
      </w:r>
      <w:r>
        <w:t xml:space="preserve">, this geographic and cultural positioning creates unique opportunities and challenges.</w:t>
      </w:r>
      <w:r>
        <w:br/>
      </w:r>
      <w:r>
        <w:br/>
      </w:r>
      <w:r>
        <w:t xml:space="preserve">The traditional definition of professorial success—primarily measured by publication counts in high-impact journals—is being supplemented, and in some cases superseded, by broader metrics of impact. In</w:t>
      </w:r>
      <w:r>
        <w:t xml:space="preserve"> </w:t>
      </w:r>
      <w:r>
        <w:rPr>
          <w:bCs/>
          <w:b/>
        </w:rPr>
        <w:t xml:space="preserve">Canada Vancouver</w:t>
      </w:r>
      <w:r>
        <w:t xml:space="preserve">, where industry-academia partnerships are robust particularly in green technology, indigenous studies, and digital humanities—the</w:t>
      </w:r>
      <w:r>
        <w:t xml:space="preserve"> </w:t>
      </w:r>
      <w:r>
        <w:rPr>
          <w:bCs/>
          <w:b/>
        </w:rPr>
        <w:t xml:space="preserve">Professor</w:t>
      </w:r>
      <w:r>
        <w:t xml:space="preserve"> </w:t>
      </w:r>
      <w:r>
        <w:t xml:space="preserve">is increasingly viewed as a public intellectual and a community partner. This article explores how these regional specificities shape the professional identity of academics operating within this vibrant locale.</w:t>
      </w:r>
      <w:r>
        <w:br/>
      </w:r>
      <w:r>
        <w:br/>
      </w:r>
    </w:p>
    <w:bookmarkEnd w:id="20"/>
    <w:bookmarkStart w:id="21" w:name="X623cd35167593b467f22535d02cb08e95b87436"/>
    <w:p>
      <w:pPr>
        <w:pStyle w:val="Heading2"/>
      </w:pPr>
      <w:r>
        <w:t xml:space="preserve">II. The Historical Context of Professorial Roles in Canada</w:t>
      </w:r>
    </w:p>
    <w:p>
      <w:pPr>
        <w:pStyle w:val="FirstParagraph"/>
      </w:pPr>
      <w:r>
        <w:t xml:space="preserve">To understand the current state, one must briefly examine the historical trajectory. Post-World War II saw an expansion of Canadian higher education, establishing a stable class tenured faculty members who enjoyed significant autonomy. However, the neoliberal shift beginning in the 1990s introduced performance-based funding and casualization of academic labor. In response to these pressures, institutions across Canada have begun redefining what it means to be a</w:t>
      </w:r>
      <w:r>
        <w:t xml:space="preserve"> </w:t>
      </w:r>
      <w:r>
        <w:rPr>
          <w:bCs/>
          <w:b/>
        </w:rPr>
        <w:t xml:space="preserve">Professor</w:t>
      </w:r>
      <w:r>
        <w:t xml:space="preserve">.</w:t>
      </w:r>
      <w:r>
        <w:br/>
      </w:r>
      <w:r>
        <w:br/>
      </w:r>
      <w:r>
        <w:t xml:space="preserve">In</w:t>
      </w:r>
      <w:r>
        <w:t xml:space="preserve"> </w:t>
      </w:r>
      <w:r>
        <w:rPr>
          <w:bCs/>
          <w:b/>
        </w:rPr>
        <w:t xml:space="preserve">Canada Vancouver</w:t>
      </w:r>
      <w:r>
        <w:t xml:space="preserve">, this redefinition is accelerated by local economic demands. The city’s economy has shifted from resource extraction to knowledge-based industries. Consequently, universities in the region are pressured to produce graduates who are job-ready and research that addresses local societal challenges. For the</w:t>
      </w:r>
      <w:r>
        <w:t xml:space="preserve"> </w:t>
      </w:r>
      <w:r>
        <w:rPr>
          <w:bCs/>
          <w:b/>
        </w:rPr>
        <w:t xml:space="preserve">Professor</w:t>
      </w:r>
      <w:r>
        <w:t xml:space="preserve">, this necessitates a departure from purely theoretical inquiry toward applied research that engages with industry stakeholders and government bodies.</w:t>
      </w:r>
      <w:r>
        <w:br/>
      </w:r>
      <w:r>
        <w:br/>
      </w:r>
    </w:p>
    <w:bookmarkEnd w:id="21"/>
    <w:bookmarkStart w:id="25" w:name="X13049c3e7409d019c08a8948d29eb543d5347de"/>
    <w:p>
      <w:pPr>
        <w:pStyle w:val="Heading2"/>
      </w:pPr>
      <w:r>
        <w:t xml:space="preserve">III. The Tri-Fold Competency Model in Vancouver</w:t>
      </w:r>
    </w:p>
    <w:p>
      <w:pPr>
        <w:pStyle w:val="FirstParagraph"/>
      </w:pPr>
      <w:r>
        <w:t xml:space="preserve">Analysis of recent tenure and promotion guidelines at leading institutions in</w:t>
      </w:r>
      <w:r>
        <w:t xml:space="preserve"> </w:t>
      </w:r>
      <w:r>
        <w:rPr>
          <w:bCs/>
          <w:b/>
        </w:rPr>
        <w:t xml:space="preserve">Canada Vancouver</w:t>
      </w:r>
      <w:r>
        <w:br/>
      </w:r>
    </w:p>
    <w:bookmarkStart w:id="22" w:name="a.-research-with-regional-relevance"/>
    <w:p>
      <w:pPr>
        <w:pStyle w:val="Heading3"/>
      </w:pPr>
      <w:r>
        <w:t xml:space="preserve">A. Research with Regional Relevance</w:t>
      </w:r>
    </w:p>
    <w:p>
      <w:pPr>
        <w:pStyle w:val="FirstParagraph"/>
      </w:pPr>
      <w:r>
        <w:t xml:space="preserve">In the context of</w:t>
      </w:r>
      <w:r>
        <w:t xml:space="preserve"> </w:t>
      </w:r>
      <w:r>
        <w:rPr>
          <w:bCs/>
          <w:b/>
        </w:rPr>
        <w:t xml:space="preserve">Canada Vancouver</w:t>
      </w:r>
      <w:r>
        <w:t xml:space="preserve">, research impact is often measured by its ability to address local issues such as housing affordability, climate change resilience, and reconciliation with Indigenous peoples. The modern</w:t>
      </w:r>
      <w:r>
        <w:t xml:space="preserve"> </w:t>
      </w:r>
      <w:r>
        <w:rPr>
          <w:bCs/>
          <w:b/>
        </w:rPr>
        <w:t xml:space="preserve">Professor</w:t>
      </w:r>
      <w:r>
        <w:t xml:space="preserve"> </w:t>
      </w:r>
      <w:r>
        <w:t xml:space="preserve">is encouraged to engage in interdisciplinary work that bridges natural sciences with social humanities. For instance, environmental scientists collaborating with urban planners to create sustainable housing solutions exemplify the new ideal of academic contribution in this region.</w:t>
      </w:r>
      <w:r>
        <w:br/>
      </w:r>
      <w:r>
        <w:br/>
      </w:r>
    </w:p>
    <w:bookmarkEnd w:id="22"/>
    <w:bookmarkStart w:id="23" w:name="Xdd218647865c016fc8acb872331b0e65808c54d"/>
    <w:p>
      <w:pPr>
        <w:pStyle w:val="Heading3"/>
      </w:pPr>
      <w:r>
        <w:t xml:space="preserve">B. Pedagogical Innovation and Inclusivity</w:t>
      </w:r>
    </w:p>
    <w:p>
      <w:pPr>
        <w:pStyle w:val="FirstParagraph"/>
      </w:pPr>
      <w:r>
        <w:t xml:space="preserve">The diversity of students in</w:t>
      </w:r>
      <w:r>
        <w:t xml:space="preserve"> </w:t>
      </w:r>
      <w:r>
        <w:rPr>
          <w:bCs/>
          <w:b/>
        </w:rPr>
        <w:t xml:space="preserve">Canada Vancouver</w:t>
      </w:r>
      <w:r>
        <w:t xml:space="preserve"> </w:t>
      </w:r>
      <w:r>
        <w:t xml:space="preserve">requires professors to adopt inclusive pedagogical strategies. With a significant international student population, particularly from Asia, educators must navigate cross-cultural communication styles and varying academic backgrounds. The</w:t>
      </w:r>
      <w:r>
        <w:t xml:space="preserve"> </w:t>
      </w:r>
      <w:r>
        <w:rPr>
          <w:bCs/>
          <w:b/>
        </w:rPr>
        <w:t xml:space="preserve">Professor</w:t>
      </w:r>
      <w:r>
        <w:t xml:space="preserve"> </w:t>
      </w:r>
      <w:r>
        <w:t xml:space="preserve">is thus expected to be not just a subject matter expert, but also a culturally competent educator who can foster an inclusive learning environment that respects diverse epistemologies.</w:t>
      </w:r>
      <w:r>
        <w:br/>
      </w:r>
      <w:r>
        <w:br/>
      </w:r>
    </w:p>
    <w:bookmarkEnd w:id="23"/>
    <w:bookmarkStart w:id="24" w:name="Xf836cd99baafc104bdf788552c1ca10e9701344"/>
    <w:p>
      <w:pPr>
        <w:pStyle w:val="Heading3"/>
      </w:pPr>
      <w:r>
        <w:t xml:space="preserve">C. Civic Engagement and Public Scholarship</w:t>
      </w:r>
    </w:p>
    <w:p>
      <w:pPr>
        <w:pStyle w:val="FirstParagraph"/>
      </w:pPr>
      <w:r>
        <w:t xml:space="preserve">Perhaps the most distinct feature of the academic landscape in</w:t>
      </w:r>
      <w:r>
        <w:t xml:space="preserve"> </w:t>
      </w:r>
      <w:r>
        <w:rPr>
          <w:bCs/>
          <w:b/>
        </w:rPr>
        <w:t xml:space="preserve">Canada Vancouver</w:t>
      </w:r>
      <w:r>
        <w:t xml:space="preserve">Professor is increasingly expected to participate in public discourse, advise policy makers, and collaborate with non-governmental organizations. This "public scholarship" validates knowledge production that extends beyond academic journals into the public sphere.</w:t>
      </w:r>
      <w:r>
        <w:br/>
      </w:r>
      <w:r>
        <w:br/>
      </w:r>
    </w:p>
    <w:bookmarkEnd w:id="24"/>
    <w:bookmarkEnd w:id="25"/>
    <w:bookmarkStart w:id="26" w:name="iv.-challenges-and-criticisms"/>
    <w:p>
      <w:pPr>
        <w:pStyle w:val="Heading2"/>
      </w:pPr>
      <w:r>
        <w:t xml:space="preserve">IV. Challenges and Criticisms</w:t>
      </w:r>
    </w:p>
    <w:p>
      <w:pPr>
        <w:pStyle w:val="FirstParagraph"/>
      </w:pPr>
      <w:r>
        <w:t xml:space="preserve">While the expansion of professorial roles offers opportunities for greater societal impact, it also presents significant challenges. The burden of multi-faceted responsibilities can lead to burnout among faculty members. Furthermore, there is a risk that non-traditional forms of scholarship may be undervalued in traditional tenure reviews if not properly documented and recognized.</w:t>
      </w:r>
      <w:r>
        <w:br/>
      </w:r>
      <w:r>
        <w:br/>
      </w:r>
      <w:r>
        <w:t xml:space="preserve">In</w:t>
      </w:r>
      <w:r>
        <w:t xml:space="preserve"> </w:t>
      </w:r>
      <w:r>
        <w:rPr>
          <w:bCs/>
          <w:b/>
        </w:rPr>
        <w:t xml:space="preserve">Canada Vancouver</w:t>
      </w:r>
      <w:r>
        <w:t xml:space="preserve">, the high cost of living poses an additional structural barrier. Many aspiring academics struggle with precarious employment conditions, which undermines the stability required for long-term research projects. This precarity affects the demographic diversity of the professoriate, potentially limiting perspectives represented in higher education.</w:t>
      </w:r>
      <w:r>
        <w:br/>
      </w:r>
      <w:r>
        <w:br/>
      </w:r>
    </w:p>
    <w:bookmarkEnd w:id="26"/>
    <w:bookmarkStart w:id="27" w:name="v.-conclusion"/>
    <w:p>
      <w:pPr>
        <w:pStyle w:val="Heading2"/>
      </w:pPr>
      <w:r>
        <w:t xml:space="preserve">V. Conclusion</w:t>
      </w:r>
    </w:p>
    <w:p>
      <w:pPr>
        <w:pStyle w:val="FirstParagraph"/>
      </w:pPr>
      <w:r>
        <w:t xml:space="preserve">The role of the</w:t>
      </w:r>
      <w:r>
        <w:t xml:space="preserve"> </w:t>
      </w:r>
      <w:r>
        <w:rPr>
          <w:bCs/>
          <w:b/>
        </w:rPr>
        <w:t xml:space="preserve">Professor</w:t>
      </w:r>
      <w:r>
        <w:t xml:space="preserve"> </w:t>
      </w:r>
      <w:r>
        <w:t xml:space="preserve">in</w:t>
      </w:r>
      <w:r>
        <w:t xml:space="preserve"> </w:t>
      </w:r>
      <w:r>
        <w:rPr>
          <w:bCs/>
          <w:b/>
        </w:rPr>
        <w:t xml:space="preserve">Canada Vancouver</w:t>
      </w:r>
      <w:r>
        <w:br/>
      </w:r>
      <w:r>
        <w:rPr>
          <w:bCs/>
          <w:b/>
        </w:rPr>
        <w:t xml:space="preserve">Future research should focus on longitudinal studies tracking the career trajectories of professors who embrace this holistic model. By doing so, we can better understand how the academic profession in</w:t>
      </w:r>
      <w:r>
        <w:rPr>
          <w:bCs/>
          <w:b/>
        </w:rPr>
        <w:t xml:space="preserve"> </w:t>
      </w:r>
      <w:r>
        <w:rPr>
          <w:bCs/>
          <w:b/>
          <w:bCs/>
          <w:b/>
        </w:rPr>
        <w:t xml:space="preserve">Canada Vancouver</w:t>
      </w:r>
      <w:r>
        <w:rPr>
          <w:bCs/>
          <w:b/>
        </w:rPr>
        <w:t xml:space="preserve">Professor</w:t>
      </w:r>
      <w:r>
        <w:br/>
      </w:r>
    </w:p>
    <w:bookmarkEnd w:id="27"/>
    <w:bookmarkStart w:id="28" w:name="references"/>
    <w:p>
      <w:pPr>
        <w:pStyle w:val="Heading2"/>
      </w:pPr>
      <w:r>
        <w:t xml:space="preserve">References</w:t>
      </w:r>
    </w:p>
    <w:p>
      <w:pPr>
        <w:pStyle w:val="FirstParagraph"/>
      </w:pPr>
      <w:r>
        <w:t xml:space="preserve">Keywords: Professor, Canada Vancouver, Academic Identity, Higher Education Policy, Civic Engagement,</w:t>
      </w:r>
      <w:r>
        <w:br/>
      </w:r>
      <w:r>
        <w:t xml:space="preserve">Scholarship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Professorial Identity in Contemporary Canadian Higher Education: A Case Study of the Vancouver Context</dc:title>
  <dc:creator/>
  <dc:language>en</dc:language>
  <cp:keywords/>
  <dcterms:created xsi:type="dcterms:W3CDTF">2026-07-29T04:45:22Z</dcterms:created>
  <dcterms:modified xsi:type="dcterms:W3CDTF">2026-07-29T04:45:22Z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