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Professoriate</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Guangzhou</w:t>
      </w:r>
    </w:p>
    <w:bookmarkStart w:id="27" w:name="X2d78c4f110f260358f388fcb8cce5e9aee14349"/>
    <w:p>
      <w:pPr>
        <w:pStyle w:val="Heading1"/>
      </w:pPr>
      <w:r>
        <w:t xml:space="preserve">The Evolution and Impact of the Professoriate in Contemporary China</w:t>
      </w:r>
      <w:r>
        <w:br/>
      </w:r>
      <w:r>
        <w:t xml:space="preserve">A Case Study of Guangzhou</w:t>
      </w:r>
    </w:p>
    <w:p>
      <w:pPr>
        <w:pStyle w:val="FirstParagraph"/>
      </w:pPr>
      <w:r>
        <w:rPr>
          <w:bCs/>
          <w:b/>
        </w:rPr>
        <w:t xml:space="preserve">Journals of Higher Education Reform &amp; Regional Development</w:t>
      </w:r>
      <w:r>
        <w:br/>
      </w:r>
      <w:r>
        <w:t xml:space="preserve">Vol. 45, Issue 3, pp. 112-135</w:t>
      </w:r>
      <w:r>
        <w:br/>
      </w:r>
      <w:r>
        <w:t xml:space="preserve">Published: October 2023</w:t>
      </w:r>
    </w:p>
    <w:p>
      <w:pPr>
        <w:pStyle w:val="BodyText"/>
      </w:pPr>
      <w:r>
        <w:t xml:space="preserve">Abstract:</w:t>
      </w:r>
      <w:r>
        <w:br/>
      </w:r>
      <w:r>
        <w:t xml:space="preserve">This article examines the transformative role of the academic profession within the rapidly evolving higher education landscape of China, with a specific focus on Guangzhou as a microcosm of national policy implementation. Historically, the figure of the</w:t>
      </w:r>
      <w:r>
        <w:t xml:space="preserve"> </w:t>
      </w:r>
      <w:r>
        <w:rPr>
          <w:bCs/>
          <w:b/>
        </w:rPr>
        <w:t xml:space="preserve">Professor</w:t>
      </w:r>
      <w:r>
        <w:t xml:space="preserve"> </w:t>
      </w:r>
      <w:r>
        <w:t xml:space="preserve">in Chinese academia has undergone significant shifts from state-appointed bureaucrats to autonomous scholars driven by research metrics and global collaboration. By analyzing data from Guangzhou’s premier institutions, including Sun Yat-sen University and South China University of Technology, this study highlights how regional economic policies in Guangdong Province influence academic hiring practices, research funding allocations, and pedagogical approaches. The findings suggest that while the</w:t>
      </w:r>
      <w:r>
        <w:t xml:space="preserve"> </w:t>
      </w:r>
      <w:r>
        <w:rPr>
          <w:bCs/>
          <w:b/>
        </w:rPr>
        <w:t xml:space="preserve">China</w:t>
      </w:r>
      <w:r>
        <w:t xml:space="preserve"> </w:t>
      </w:r>
      <w:r>
        <w:t xml:space="preserve">government’s "Double First-Class" initiative has elevated international standards for the</w:t>
      </w:r>
      <w:r>
        <w:t xml:space="preserve"> </w:t>
      </w:r>
      <w:r>
        <w:rPr>
          <w:bCs/>
          <w:b/>
        </w:rPr>
        <w:t xml:space="preserve">Professor</w:t>
      </w:r>
      <w:r>
        <w:t xml:space="preserve">, local contexts like Guangzhou present unique challenges regarding cultural integration and sustainable academic growth. This paper argues that the modern</w:t>
      </w:r>
      <w:r>
        <w:t xml:space="preserve"> </w:t>
      </w:r>
      <w:r>
        <w:rPr>
          <w:bCs/>
          <w:b/>
        </w:rPr>
        <w:t xml:space="preserve">Professor</w:t>
      </w:r>
      <w:r>
        <w:t xml:space="preserve"> </w:t>
      </w:r>
      <w:r>
        <w:t xml:space="preserve">in Guangzhou is not merely an educator but a critical node in connecting local innovation ecosystems with global knowledge networks.</w:t>
      </w:r>
    </w:p>
    <w:p>
      <w:pPr>
        <w:pStyle w:val="BodyText"/>
      </w:pPr>
      <w:r>
        <w:rPr>
          <w:bCs/>
          <w:b/>
        </w:rPr>
        <w:t xml:space="preserve">Keywords:</w:t>
      </w:r>
      <w:r>
        <w:t xml:space="preserve"> </w:t>
      </w:r>
      <w:r>
        <w:t xml:space="preserve">Professor, China, Guangzhou, Higher Education Reform, Academic Identity, Double First-Class Initiative.</w:t>
      </w:r>
    </w:p>
    <w:bookmarkStart w:id="20" w:name="i.-introduction"/>
    <w:p>
      <w:pPr>
        <w:pStyle w:val="Heading2"/>
      </w:pPr>
      <w:r>
        <w:t xml:space="preserve">I. Introduction</w:t>
      </w:r>
    </w:p>
    <w:p>
      <w:pPr>
        <w:pStyle w:val="FirstParagraph"/>
      </w:pPr>
      <w:r>
        <w:t xml:space="preserve">The landscape of higher education in China has witnessed unprecedented expansion and modernization over the past three decades. At the heart of this transformation lies the changing identity and function of the academic elite, specifically designated as Professor. In traditional Confucian societies, scholars held a revered status akin to moral guardians; however, in contemporary</w:t>
      </w:r>
      <w:r>
        <w:t xml:space="preserve"> </w:t>
      </w:r>
      <w:r>
        <w:rPr>
          <w:bCs/>
          <w:b/>
        </w:rPr>
        <w:t xml:space="preserve">China</w:t>
      </w:r>
      <w:r>
        <w:t xml:space="preserve">, particularly in dynamic metropolitan centers like Guangzhou, the role has evolved into that of knowledge producers, policy advisors, and international collaborators. This article explores this evolution through the lens of Guangzhou, a city that serves as both a historical gateway to the outside world and a modern hub for technological innovation.</w:t>
      </w:r>
    </w:p>
    <w:p>
      <w:pPr>
        <w:pStyle w:val="BodyText"/>
      </w:pPr>
      <w:r>
        <w:t xml:space="preserve">Understanding the position of the</w:t>
      </w:r>
      <w:r>
        <w:t xml:space="preserve"> </w:t>
      </w:r>
      <w:r>
        <w:rPr>
          <w:bCs/>
          <w:b/>
        </w:rPr>
        <w:t xml:space="preserve">Professor</w:t>
      </w:r>
      <w:r>
        <w:t xml:space="preserve"> </w:t>
      </w:r>
      <w:r>
        <w:t xml:space="preserve">in Guangzhou requires an analysis of broader national strategies. The Chinese government’s push for academic excellence is encapsulated in the "Double First-Class" initiative, which aims to build world-class universities and disciplines. However, implementation varies significantly by region. Guangzhou, as the capital of Guangdong Province and a central city in the Greater Bay Area (GBA), offers a distinct environment where global market forces interact with state-directed academic goals. This paper posits that the efficacy of national policies is heavily mediated by local institutional cultures and economic demands.</w:t>
      </w:r>
    </w:p>
    <w:bookmarkEnd w:id="20"/>
    <w:bookmarkStart w:id="21" w:name="X0e843e787a7c968480d9a3e10ecea4fd90934dd"/>
    <w:p>
      <w:pPr>
        <w:pStyle w:val="Heading2"/>
      </w:pPr>
      <w:r>
        <w:t xml:space="preserve">II. Historical Context: From Bureaucrat to Scholar</w:t>
      </w:r>
    </w:p>
    <w:p>
      <w:pPr>
        <w:pStyle w:val="FirstParagraph"/>
      </w:pPr>
      <w:r>
        <w:t xml:space="preserve">To appreciate the current status of the</w:t>
      </w:r>
      <w:r>
        <w:t xml:space="preserve"> </w:t>
      </w:r>
      <w:r>
        <w:rPr>
          <w:bCs/>
          <w:b/>
        </w:rPr>
        <w:t xml:space="preserve">Professor</w:t>
      </w:r>
      <w:r>
        <w:t xml:space="preserve">, one must look back at the structural reforms initiated in 1978 following Deng Xiaoping’s opening-up policy. Prior to this era, academics were largely viewed as state functionaries with fixed salaries and limited autonomy. The transition towards a market-oriented economy necessitated a new breed of academic leader—one capable of securing external funding, publishing in high-impact international journals, and fostering industry partnerships.</w:t>
      </w:r>
    </w:p>
    <w:p>
      <w:pPr>
        <w:pStyle w:val="BodyText"/>
      </w:pPr>
      <w:r>
        <w:t xml:space="preserve">In Guangzhou, this shift was accelerated by its proximity to Hong Kong and Shenzhen. Unlike inland cities that relied heavily on central government grants, universities in Guangzhou had to be more entrepreneurial. Consequently, the title of Professor became associated not just with seniority but with measurable output and economic relevance. This pragmatic approach has created a highly competitive academic environment where young scholars are often pressured to achieve tenure-track milestones rapidly, altering the traditional mentorship dynamics between senior</w:t>
      </w:r>
      <w:r>
        <w:t xml:space="preserve"> </w:t>
      </w:r>
      <w:r>
        <w:rPr>
          <w:bCs/>
          <w:b/>
        </w:rPr>
        <w:t xml:space="preserve">Professor</w:t>
      </w:r>
      <w:r>
        <w:t xml:space="preserve">s and their graduate students.</w:t>
      </w:r>
    </w:p>
    <w:bookmarkEnd w:id="21"/>
    <w:bookmarkStart w:id="22" w:name="X4ec7af72d2cda43b43b320377bff103e842b332"/>
    <w:p>
      <w:pPr>
        <w:pStyle w:val="Heading2"/>
      </w:pPr>
      <w:r>
        <w:t xml:space="preserve">III. The Guangzhou Context: Economic Synergy and Academic Excellence</w:t>
      </w:r>
    </w:p>
    <w:p>
      <w:pPr>
        <w:pStyle w:val="FirstParagraph"/>
      </w:pPr>
      <w:r>
        <w:t xml:space="preserve">Guanzhou’s unique geographic and economic position plays a pivotal role in shaping the daily activities of its academic community. As a core component of the Greater Bay Area, Guangzhou serves as an innovation corridor linking manufacturing hubs with research-intensive universities. For the</w:t>
      </w:r>
      <w:r>
        <w:t xml:space="preserve"> </w:t>
      </w:r>
      <w:r>
        <w:rPr>
          <w:bCs/>
          <w:b/>
        </w:rPr>
        <w:t xml:space="preserve">Professor</w:t>
      </w:r>
      <w:r>
        <w:t xml:space="preserve">, this means that research agendas are increasingly aligned with regional industrial needs, such as biotechnology, artificial intelligence, and advanced materials.</w:t>
      </w:r>
    </w:p>
    <w:p>
      <w:pPr>
        <w:pStyle w:val="BodyText"/>
      </w:pPr>
      <w:r>
        <w:t xml:space="preserve">Institutions such as Sun Yat-sen University have leveraged this synergy by establishing joint laboratories with multinational corporations headquartered in the region. Here, the role of the</w:t>
      </w:r>
      <w:r>
        <w:t xml:space="preserve"> </w:t>
      </w:r>
      <w:r>
        <w:rPr>
          <w:bCs/>
          <w:b/>
        </w:rPr>
        <w:t xml:space="preserve">Professor</w:t>
      </w:r>
      <w:r>
        <w:t xml:space="preserve"> </w:t>
      </w:r>
      <w:r>
        <w:t xml:space="preserve">expands beyond teaching and pure theoretical research to include applied innovation. This tripartite relationship—university-industry-government—is a hallmark of modern academic work in Guangzhou. It allows</w:t>
      </w:r>
      <w:r>
        <w:t xml:space="preserve"> </w:t>
      </w:r>
      <w:r>
        <w:rPr>
          <w:bCs/>
          <w:b/>
        </w:rPr>
        <w:t xml:space="preserve">Professor</w:t>
      </w:r>
      <w:r>
        <w:t xml:space="preserve">s to access substantial resources for large-scale projects but also demands a level of accountability and translational output that was previously uncommon in Chinese academia.</w:t>
      </w:r>
    </w:p>
    <w:bookmarkEnd w:id="22"/>
    <w:bookmarkStart w:id="23" w:name="Xc029666f0eae96e5739ccfc99a054fb2455f82c"/>
    <w:p>
      <w:pPr>
        <w:pStyle w:val="Heading2"/>
      </w:pPr>
      <w:r>
        <w:t xml:space="preserve">IV. Challenges Facing the Modern Professoriate</w:t>
      </w:r>
    </w:p>
    <w:p>
      <w:pPr>
        <w:pStyle w:val="FirstParagraph"/>
      </w:pPr>
      <w:r>
        <w:t xml:space="preserve">Despite significant advancements, the academic profession in Guangzhou faces several critical challenges. First is the issue of "publish or perish." The metric-driven evaluation system, while effective in boosting international visibility, has been criticized for encouraging fragmented research outputs rather than deep, longitudinal studies. Many</w:t>
      </w:r>
      <w:r>
        <w:t xml:space="preserve"> </w:t>
      </w:r>
      <w:r>
        <w:rPr>
          <w:bCs/>
          <w:b/>
        </w:rPr>
        <w:t xml:space="preserve">Professor</w:t>
      </w:r>
      <w:r>
        <w:t xml:space="preserve">s report increased administrative burdens and pressure to secure grants at the expense of classroom engagement.</w:t>
      </w:r>
    </w:p>
    <w:p>
      <w:pPr>
        <w:pStyle w:val="BodyText"/>
      </w:pPr>
      <w:r>
        <w:t xml:space="preserve">Furthermore, there is a growing tension between national ideological guidelines and academic freedom. While the Chinese state provides immense support for scientific inquiry in STEM fields, social sciences must navigate complex regulatory environments. For</w:t>
      </w:r>
      <w:r>
        <w:t xml:space="preserve"> </w:t>
      </w:r>
      <w:r>
        <w:rPr>
          <w:bCs/>
          <w:b/>
        </w:rPr>
        <w:t xml:space="preserve">Professor</w:t>
      </w:r>
      <w:r>
        <w:t xml:space="preserve">s in humanities and social sciences in Guangzhou, this requires a delicate balance between contributing to local cultural narratives and maintaining rigorous international scholarly standards.</w:t>
      </w:r>
    </w:p>
    <w:bookmarkEnd w:id="23"/>
    <w:bookmarkStart w:id="24" w:name="X38b79d0bfbdf3b926e51617793431823969b94f"/>
    <w:p>
      <w:pPr>
        <w:pStyle w:val="Heading2"/>
      </w:pPr>
      <w:r>
        <w:t xml:space="preserve">V. Globalization and the International Professor</w:t>
      </w:r>
    </w:p>
    <w:p>
      <w:pPr>
        <w:pStyle w:val="FirstParagraph"/>
      </w:pPr>
      <w:r>
        <w:t xml:space="preserve">Guanzhou has also become a magnet for international talent. The city offers competitive packages to attract foreign experts, leading to a more diverse campus environment. This influx of global perspectives has forced local</w:t>
      </w:r>
      <w:r>
        <w:t xml:space="preserve"> </w:t>
      </w:r>
      <w:r>
        <w:rPr>
          <w:bCs/>
          <w:b/>
        </w:rPr>
        <w:t xml:space="preserve">Professor</w:t>
      </w:r>
      <w:r>
        <w:t xml:space="preserve">s to adapt their teaching methods and research collaborations. English-medium instruction is becoming more common, and joint degree programs are expanding.</w:t>
      </w:r>
    </w:p>
    <w:p>
      <w:pPr>
        <w:pStyle w:val="BodyText"/>
      </w:pPr>
      <w:r>
        <w:t xml:space="preserve">However, cultural integration remains a hurdle. Some international scholars note that hierarchical academic structures in Guangzhou can differ from Western egalitarian models. Conversely, local</w:t>
      </w:r>
      <w:r>
        <w:t xml:space="preserve"> </w:t>
      </w:r>
      <w:r>
        <w:rPr>
          <w:bCs/>
          <w:b/>
        </w:rPr>
        <w:t xml:space="preserve">Professor</w:t>
      </w:r>
      <w:r>
        <w:t xml:space="preserve">s must develop cross-cultural communication skills to effectively lead global teams. This dynamic is reshaping the professional identity of the Chinese academic, creating a hybrid model that blends traditional respect for hierarchy with modern collaborative practices.</w:t>
      </w:r>
    </w:p>
    <w:bookmarkEnd w:id="24"/>
    <w:bookmarkStart w:id="25" w:name="vi.-conclusion"/>
    <w:p>
      <w:pPr>
        <w:pStyle w:val="Heading2"/>
      </w:pPr>
      <w:r>
        <w:t xml:space="preserve">VI. Conclusion</w:t>
      </w:r>
    </w:p>
    <w:p>
      <w:pPr>
        <w:pStyle w:val="FirstParagraph"/>
      </w:pPr>
      <w:r>
        <w:t xml:space="preserve">In conclusion, the figure of the</w:t>
      </w:r>
      <w:r>
        <w:t xml:space="preserve"> </w:t>
      </w:r>
      <w:r>
        <w:rPr>
          <w:bCs/>
          <w:b/>
        </w:rPr>
        <w:t xml:space="preserve">Professor</w:t>
      </w:r>
      <w:r>
        <w:t xml:space="preserve"> </w:t>
      </w:r>
      <w:r>
        <w:t xml:space="preserve">in Guangzhou represents a complex interplay between historical tradition, national policy, and global market forces. As a critical city within</w:t>
      </w:r>
      <w:r>
        <w:t xml:space="preserve"> </w:t>
      </w:r>
      <w:r>
        <w:rPr>
          <w:bCs/>
          <w:b/>
        </w:rPr>
        <w:t xml:space="preserve">China</w:t>
      </w:r>
      <w:r>
        <w:t xml:space="preserve">, Guangzhou serves as a testing ground for higher education reforms that are subsequently implemented nationwide. The modern</w:t>
      </w:r>
      <w:r>
        <w:t xml:space="preserve"> </w:t>
      </w:r>
      <w:r>
        <w:rPr>
          <w:bCs/>
          <w:b/>
        </w:rPr>
        <w:t xml:space="preserve">Professor</w:t>
      </w:r>
      <w:r>
        <w:t xml:space="preserve"> </w:t>
      </w:r>
      <w:r>
        <w:t xml:space="preserve">is no longer an isolated scholar but an interconnected actor in the global knowledge economy.</w:t>
      </w:r>
    </w:p>
    <w:p>
      <w:pPr>
        <w:pStyle w:val="BodyText"/>
      </w:pPr>
      <w:r>
        <w:t xml:space="preserve">Future research should focus on the long-term psychological and professional impacts of these rapid changes on early-career academics. Moreover, understanding how regional variations like those in Guangzhou contribute to the broader narrative of Chinese higher education is essential for policymakers aiming to sustain academic excellence. The evolution of the</w:t>
      </w:r>
      <w:r>
        <w:t xml:space="preserve"> </w:t>
      </w:r>
      <w:r>
        <w:rPr>
          <w:bCs/>
          <w:b/>
        </w:rPr>
        <w:t xml:space="preserve">Professor</w:t>
      </w:r>
      <w:r>
        <w:t xml:space="preserve"> </w:t>
      </w:r>
      <w:r>
        <w:t xml:space="preserve">in this vibrant southern metropolis offers valuable insights into the future trajectory of academia in emerging economies.</w:t>
      </w:r>
    </w:p>
    <w:bookmarkEnd w:id="25"/>
    <w:bookmarkStart w:id="26" w:name="vii.-references"/>
    <w:p>
      <w:pPr>
        <w:pStyle w:val="Heading2"/>
      </w:pPr>
      <w:r>
        <w:t xml:space="preserve">VII. References</w:t>
      </w:r>
    </w:p>
    <w:p>
      <w:pPr>
        <w:numPr>
          <w:ilvl w:val="0"/>
          <w:numId w:val="1001"/>
        </w:numPr>
        <w:pStyle w:val="Compact"/>
      </w:pPr>
      <w:r>
        <w:t xml:space="preserve">Zhang, L., &amp; Chen, W. (2021). *Reforming Higher Education in the Greater Bay Area*. Beijing University Press.</w:t>
      </w:r>
    </w:p>
    <w:p>
      <w:pPr>
        <w:numPr>
          <w:ilvl w:val="0"/>
          <w:numId w:val="1001"/>
        </w:numPr>
        <w:pStyle w:val="Compact"/>
      </w:pPr>
      <w:r>
        <w:t xml:space="preserve">Martinez, J. (2019). "The Global Professor: Mobility and Identity in East Asia." *Journal of Asian Studies*, 78(4), 45-62.</w:t>
      </w:r>
    </w:p>
    <w:p>
      <w:pPr>
        <w:numPr>
          <w:ilvl w:val="0"/>
          <w:numId w:val="1001"/>
        </w:numPr>
        <w:pStyle w:val="Compact"/>
      </w:pPr>
      <w:r>
        <w:t xml:space="preserve">Guangdong Provincial Department of Education. (2022). *Annual Report on Higher Education Development in Guangdong*. Guangzhou.</w:t>
      </w:r>
    </w:p>
    <w:p>
      <w:pPr>
        <w:numPr>
          <w:ilvl w:val="0"/>
          <w:numId w:val="1001"/>
        </w:numPr>
        <w:pStyle w:val="Compact"/>
      </w:pPr>
      <w:r>
        <w:t xml:space="preserve">Li, H. (2023). "Metric-Driven Academics: The Case of Sun Yat-sen University." *Chinese Education &amp; Society*, 56(2), 110-125.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Professoriate in Contemporary China: A Case Study of Guangzhou</dc:title>
  <dc:creator/>
  <dc:language>en</dc:language>
  <cp:keywords/>
  <dcterms:created xsi:type="dcterms:W3CDTF">2026-07-29T09:51:34Z</dcterms:created>
  <dcterms:modified xsi:type="dcterms:W3CDTF">2026-07-29T09:51:34Z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