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Professorate</w:t>
      </w:r>
      <w:r>
        <w:t xml:space="preserve"> </w:t>
      </w:r>
      <w:r>
        <w:t xml:space="preserve">in</w:t>
      </w:r>
      <w:r>
        <w:t xml:space="preserve"> </w:t>
      </w:r>
      <w:r>
        <w:t xml:space="preserve">Kazakhstan</w:t>
      </w:r>
      <w:r>
        <w:t xml:space="preserve"> </w:t>
      </w:r>
      <w:r>
        <w:t xml:space="preserve">Almaty:</w:t>
      </w:r>
      <w:r>
        <w:t xml:space="preserve"> </w:t>
      </w:r>
      <w:r>
        <w:t xml:space="preserve">A</w:t>
      </w:r>
      <w:r>
        <w:t xml:space="preserve"> </w:t>
      </w:r>
      <w:r>
        <w:t xml:space="preserve">Critical</w:t>
      </w:r>
      <w:r>
        <w:t xml:space="preserve"> </w:t>
      </w:r>
      <w:r>
        <w:t xml:space="preserve">Analysis</w:t>
      </w:r>
    </w:p>
    <w:bookmarkStart w:id="20" w:name="X3695862cd8062c30d7189a60dfc385eeb53c0a5"/>
    <w:p>
      <w:pPr>
        <w:pStyle w:val="Heading1"/>
      </w:pPr>
      <w:r>
        <w:t xml:space="preserve">The Evolution of the Professorate in Kazakhstan Almaty: Pedagogical Paradigms and Academic Integrity in a Transitioning Economy</w:t>
      </w:r>
    </w:p>
    <w:p>
      <w:pPr>
        <w:pStyle w:val="FirstParagraph"/>
      </w:pPr>
      <w:r>
        <w:t xml:space="preserve">Dr. Elena Volkova</w:t>
      </w:r>
      <w:r>
        <w:br/>
      </w:r>
      <w:r>
        <w:t xml:space="preserve">Institute of Higher Education Studies, Nazarbayev University</w:t>
      </w:r>
      <w:r>
        <w:br/>
      </w:r>
      <w:r>
        <w:rPr>
          <w:iCs/>
          <w:i/>
        </w:rPr>
        <w:t xml:space="preserve">Journal of Central Asian Educational Reform</w:t>
      </w:r>
      <w:r>
        <w:t xml:space="preserve">, Vol. 14, Issue 3, 2023</w:t>
      </w:r>
    </w:p>
    <w:bookmarkEnd w:id="20"/>
    <w:bookmarkStart w:id="21" w:name="abstract"/>
    <w:p>
      <w:pPr>
        <w:pStyle w:val="Heading2"/>
      </w:pPr>
      <w:r>
        <w:t xml:space="preserve">Abstract</w:t>
      </w:r>
    </w:p>
    <w:p>
      <w:pPr>
        <w:pStyle w:val="FirstParagraph"/>
      </w:pPr>
      <w:r>
        <w:t xml:space="preserve">This paper examines the structural and cultural transformation of the</w:t>
      </w:r>
      <w:r>
        <w:t xml:space="preserve"> </w:t>
      </w:r>
      <w:r>
        <w:rPr>
          <w:bCs/>
          <w:b/>
        </w:rPr>
        <w:t xml:space="preserve">Academic Journal Article</w:t>
      </w:r>
      <w:r>
        <w:t xml:space="preserve"> </w:t>
      </w:r>
      <w:r>
        <w:t xml:space="preserve">publishing landscape within higher education institutions in</w:t>
      </w:r>
      <w:r>
        <w:t xml:space="preserve"> </w:t>
      </w:r>
      <w:r>
        <w:rPr>
          <w:bCs/>
          <w:b/>
        </w:rPr>
        <w:t xml:space="preserve">Kazakhstan Almaty</w:t>
      </w:r>
      <w:r>
        <w:t xml:space="preserve">. Specifically, it investigates the shifting role of the</w:t>
      </w:r>
      <w:r>
        <w:t xml:space="preserve"> </w:t>
      </w:r>
      <w:r>
        <w:rPr>
          <w:iCs/>
          <w:i/>
        </w:rPr>
        <w:t xml:space="preserve">Professor</w:t>
      </w:r>
      <w:r>
        <w:t xml:space="preserve"> </w:t>
      </w:r>
      <w:r>
        <w:t xml:space="preserve">from a traditional lecturer to a contemporary researcher and institutional leader. The study highlights how the demand for high-impact</w:t>
      </w:r>
      <w:r>
        <w:t xml:space="preserve"> </w:t>
      </w:r>
      <w:r>
        <w:rPr>
          <w:bCs/>
          <w:b/>
        </w:rPr>
        <w:t xml:space="preserve">Academic Journal Article</w:t>
      </w:r>
      <w:r>
        <w:t xml:space="preserve">s has influenced pedagogical methods and research output in</w:t>
      </w:r>
      <w:r>
        <w:t xml:space="preserve"> </w:t>
      </w:r>
      <w:r>
        <w:rPr>
          <w:bCs/>
          <w:b/>
        </w:rPr>
        <w:t xml:space="preserve">Kazakhstan Almaty</w:t>
      </w:r>
      <w:r>
        <w:t xml:space="preserve">. By analyzing recent policy shifts and institutional data, this article argues that the modernization of the professoriate is critical for enhancing Kazakhstan's global academic standing. The findings suggest that while resources have increased, a cultural shift toward rigorous peer-reviewed publication remains a challenge.</w:t>
      </w:r>
    </w:p>
    <w:bookmarkEnd w:id="21"/>
    <w:bookmarkStart w:id="22" w:name="introduction"/>
    <w:p>
      <w:pPr>
        <w:pStyle w:val="Heading2"/>
      </w:pPr>
      <w:r>
        <w:t xml:space="preserve">1. Introduction</w:t>
      </w:r>
    </w:p>
    <w:p>
      <w:pPr>
        <w:pStyle w:val="FirstParagraph"/>
      </w:pPr>
      <w:r>
        <w:t xml:space="preserve">The landscape of higher education in Central Asia has undergone profound changes over the past two decades. Nowhere is this transformation more evident than in</w:t>
      </w:r>
      <w:r>
        <w:t xml:space="preserve"> </w:t>
      </w:r>
      <w:r>
        <w:rPr>
          <w:bCs/>
          <w:b/>
        </w:rPr>
        <w:t xml:space="preserve">Kazakhstan Almaty</w:t>
      </w:r>
      <w:r>
        <w:t xml:space="preserve">, which has historically served as the intellectual and cultural capital of the nation before its administrative functions shifted to Astana (now Nur-Sultan). Despite these geopolitical shifts,</w:t>
      </w:r>
      <w:r>
        <w:t xml:space="preserve"> </w:t>
      </w:r>
      <w:r>
        <w:rPr>
          <w:bCs/>
          <w:b/>
        </w:rPr>
        <w:t xml:space="preserve">Kazakhstan Almaty</w:t>
      </w:r>
      <w:r>
        <w:t xml:space="preserve"> </w:t>
      </w:r>
      <w:r>
        <w:t xml:space="preserve">remains a hub for academic excellence, housing major universities such as Kazakh National University named after Al-Farabi (KazNU) and L.N. Gumilyov Eurasian National University.</w:t>
      </w:r>
    </w:p>
    <w:p>
      <w:pPr>
        <w:pStyle w:val="BodyText"/>
      </w:pPr>
      <w:r>
        <w:t xml:space="preserve">Central to this educational ecosystem is the figure of the</w:t>
      </w:r>
      <w:r>
        <w:t xml:space="preserve"> </w:t>
      </w:r>
      <w:r>
        <w:rPr>
          <w:iCs/>
          <w:i/>
        </w:rPr>
        <w:t xml:space="preserve">Professor</w:t>
      </w:r>
      <w:r>
        <w:t xml:space="preserve">. Traditionally viewed as a custodian of knowledge and a primary instructor, the role has evolved significantly. In the contemporary era, particularly within Westernized academic models adopted by universities in</w:t>
      </w:r>
      <w:r>
        <w:t xml:space="preserve"> </w:t>
      </w:r>
      <w:r>
        <w:rPr>
          <w:bCs/>
          <w:b/>
        </w:rPr>
        <w:t xml:space="preserve">Kazakhstan Almaty</w:t>
      </w:r>
      <w:r>
        <w:t xml:space="preserve">, a professor is expected to be an active researcher. This expectation is formalized through the production and dissemination of</w:t>
      </w:r>
      <w:r>
        <w:t xml:space="preserve"> </w:t>
      </w:r>
      <w:r>
        <w:rPr>
          <w:bCs/>
          <w:b/>
        </w:rPr>
        <w:t xml:space="preserve">Academic Journal Article</w:t>
      </w:r>
      <w:r>
        <w:t xml:space="preserve">s that meet international standards. This article explores the intersection of these three elements: the institutional context of</w:t>
      </w:r>
      <w:r>
        <w:t xml:space="preserve"> </w:t>
      </w:r>
      <w:r>
        <w:rPr>
          <w:bCs/>
          <w:b/>
        </w:rPr>
        <w:t xml:space="preserve">Kazakhstan Almaty</w:t>
      </w:r>
      <w:r>
        <w:t xml:space="preserve">, the professional identity of the</w:t>
      </w:r>
      <w:r>
        <w:t xml:space="preserve"> </w:t>
      </w:r>
      <w:r>
        <w:rPr>
          <w:iCs/>
          <w:i/>
        </w:rPr>
        <w:t xml:space="preserve">Professor</w:t>
      </w:r>
      <w:r>
        <w:t xml:space="preserve">, and the metric-driven culture surrounding the publication of an</w:t>
      </w:r>
      <w:r>
        <w:t xml:space="preserve"> </w:t>
      </w:r>
      <w:r>
        <w:rPr>
          <w:bCs/>
          <w:b/>
        </w:rPr>
        <w:t xml:space="preserve">Academic Journal Article</w:t>
      </w:r>
      <w:r>
        <w:t xml:space="preserve">.</w:t>
      </w:r>
    </w:p>
    <w:bookmarkEnd w:id="22"/>
    <w:bookmarkStart w:id="24" w:name="literature-review"/>
    <w:bookmarkStart w:id="23" w:name="X4a6aa1062ae9875cfa6f280a8beebfebf620814"/>
    <w:p>
      <w:pPr>
        <w:pStyle w:val="Heading2"/>
      </w:pPr>
      <w:r>
        <w:t xml:space="preserve">2. The Changing Role of the Professor in Kazakhstan Almaty</w:t>
      </w:r>
    </w:p>
    <w:p>
      <w:pPr>
        <w:pStyle w:val="FirstParagraph"/>
      </w:pPr>
      <w:r>
        <w:t xml:space="preserve">The concept of a professor in</w:t>
      </w:r>
      <w:r>
        <w:t xml:space="preserve"> </w:t>
      </w:r>
      <w:r>
        <w:rPr>
          <w:bCs/>
          <w:b/>
        </w:rPr>
        <w:t xml:space="preserve">Kazakhstan Almaty</w:t>
      </w:r>
      <w:r>
        <w:t xml:space="preserve"> </w:t>
      </w:r>
      <w:r>
        <w:t xml:space="preserve">is deeply rooted in the Soviet academic tradition, which emphasized teaching loads and pedagogical excellence over research output. However, since independence, and particularly following Kazakhstan's entry into the Bologna Process-compatible framework, there has been a concerted effort to align local higher education with global standards. This alignment requires that a</w:t>
      </w:r>
      <w:r>
        <w:t xml:space="preserve"> </w:t>
      </w:r>
      <w:r>
        <w:rPr>
          <w:iCs/>
          <w:i/>
        </w:rPr>
        <w:t xml:space="preserve">Professor</w:t>
      </w:r>
      <w:r>
        <w:t xml:space="preserve"> </w:t>
      </w:r>
      <w:r>
        <w:t xml:space="preserve">not only teaches but also contributes original knowledge to their field.</w:t>
      </w:r>
    </w:p>
    <w:p>
      <w:pPr>
        <w:pStyle w:val="BodyText"/>
      </w:pPr>
      <w:r>
        <w:t xml:space="preserve">In recent years, universities in</w:t>
      </w:r>
      <w:r>
        <w:t xml:space="preserve"> </w:t>
      </w:r>
      <w:r>
        <w:rPr>
          <w:bCs/>
          <w:b/>
        </w:rPr>
        <w:t xml:space="preserve">Kazakhstan Almaty</w:t>
      </w:r>
      <w:r>
        <w:t xml:space="preserve"> </w:t>
      </w:r>
      <w:r>
        <w:t xml:space="preserve">have implemented new tenure-track systems. These systems prioritize the publication of an</w:t>
      </w:r>
      <w:r>
        <w:t xml:space="preserve"> </w:t>
      </w:r>
      <w:r>
        <w:rPr>
          <w:bCs/>
          <w:b/>
        </w:rPr>
        <w:t xml:space="preserve">Academic Journal Article</w:t>
      </w:r>
      <w:r>
        <w:t xml:space="preserve"> </w:t>
      </w:r>
      <w:r>
        <w:t xml:space="preserve">in indexed journals (such as Web of Science or Scopus) as a primary criterion for promotion. This shift has created a dichotomy among faculty members. Senior professors, who established their careers under the old regime, often struggle to adapt to the rigorous demands of publishing an</w:t>
      </w:r>
      <w:r>
        <w:t xml:space="preserve"> </w:t>
      </w:r>
      <w:r>
        <w:rPr>
          <w:bCs/>
          <w:b/>
        </w:rPr>
        <w:t xml:space="preserve">Academic Journal Article</w:t>
      </w:r>
      <w:r>
        <w:t xml:space="preserve"> </w:t>
      </w:r>
      <w:r>
        <w:t xml:space="preserve">in English-language international journals. Conversely, younger academics in</w:t>
      </w:r>
      <w:r>
        <w:t xml:space="preserve"> </w:t>
      </w:r>
      <w:r>
        <w:rPr>
          <w:bCs/>
          <w:b/>
        </w:rPr>
        <w:t xml:space="preserve">Kazakhstan Almaty</w:t>
      </w:r>
      <w:r>
        <w:t xml:space="preserve">, many of whom hold PhDs from Western institutions, are more adept at navigating these requirements.</w:t>
      </w:r>
    </w:p>
    <w:p>
      <w:pPr>
        <w:pStyle w:val="BodyText"/>
      </w:pPr>
      <w:r>
        <w:t xml:space="preserve">This generational divide impacts the mentorship structure within departments. The modern</w:t>
      </w:r>
      <w:r>
        <w:t xml:space="preserve"> </w:t>
      </w:r>
      <w:r>
        <w:rPr>
          <w:iCs/>
          <w:i/>
        </w:rPr>
        <w:t xml:space="preserve">Professor</w:t>
      </w:r>
      <w:r>
        <w:t xml:space="preserve"> </w:t>
      </w:r>
      <w:r>
        <w:t xml:space="preserve">is increasingly expected to supervise graduate students not just in classroom settings but also in collaborative research projects that lead to joint publications. Consequently, the definition of academic success in</w:t>
      </w:r>
      <w:r>
        <w:t xml:space="preserve"> </w:t>
      </w:r>
      <w:r>
        <w:rPr>
          <w:bCs/>
          <w:b/>
        </w:rPr>
        <w:t xml:space="preserve">Kazakhstan Almaty</w:t>
      </w:r>
      <w:r>
        <w:t xml:space="preserve"> </w:t>
      </w:r>
      <w:r>
        <w:t xml:space="preserve">is no longer solely based on teaching hours or administrative service, but significantly on the visibility and impact factor of one’s published work.</w:t>
      </w:r>
    </w:p>
    <w:bookmarkEnd w:id="23"/>
    <w:bookmarkEnd w:id="24"/>
    <w:bookmarkStart w:id="26" w:name="methodology"/>
    <w:bookmarkStart w:id="25" w:name="X4aea4e9a44556beb254dec01da1c9fb768f73a7"/>
    <w:p>
      <w:pPr>
        <w:pStyle w:val="Heading2"/>
      </w:pPr>
      <w:r>
        <w:t xml:space="preserve">3. The Imperative of Academic Journal Articles</w:t>
      </w:r>
    </w:p>
    <w:p>
      <w:pPr>
        <w:pStyle w:val="FirstParagraph"/>
      </w:pPr>
      <w:r>
        <w:t xml:space="preserve">The publication of an</w:t>
      </w:r>
      <w:r>
        <w:t xml:space="preserve"> </w:t>
      </w:r>
      <w:r>
        <w:rPr>
          <w:bCs/>
          <w:b/>
        </w:rPr>
        <w:t xml:space="preserve">Academic Journal Article</w:t>
      </w:r>
      <w:r>
        <w:t xml:space="preserve"> </w:t>
      </w:r>
      <w:r>
        <w:t xml:space="preserve">is no longer optional for career advancement in</w:t>
      </w:r>
      <w:r>
        <w:t xml:space="preserve"> </w:t>
      </w:r>
      <w:r>
        <w:rPr>
          <w:bCs/>
          <w:b/>
        </w:rPr>
        <w:t xml:space="preserve">Kazakhstan Almaty</w:t>
      </w:r>
      <w:r>
        <w:t xml:space="preserve">; it is mandatory. Government initiatives, such as the "Bolashak" program and various state grants funded by the Ministry of Science and Higher Education, are heavily tied to research outputs. For a</w:t>
      </w:r>
      <w:r>
        <w:t xml:space="preserve"> </w:t>
      </w:r>
      <w:r>
        <w:rPr>
          <w:iCs/>
          <w:i/>
        </w:rPr>
        <w:t xml:space="preserve">Professor</w:t>
      </w:r>
      <w:r>
        <w:t xml:space="preserve"> </w:t>
      </w:r>
      <w:r>
        <w:t xml:space="preserve">based in</w:t>
      </w:r>
      <w:r>
        <w:t xml:space="preserve"> </w:t>
      </w:r>
      <w:r>
        <w:rPr>
          <w:bCs/>
          <w:b/>
        </w:rPr>
        <w:t xml:space="preserve">Kazakhstan Almaty</w:t>
      </w:r>
      <w:r>
        <w:t xml:space="preserve">, securing funding often depends on a proven track record of publishing an</w:t>
      </w:r>
      <w:r>
        <w:t xml:space="preserve"> </w:t>
      </w:r>
      <w:r>
        <w:rPr>
          <w:bCs/>
          <w:b/>
        </w:rPr>
        <w:t xml:space="preserve">Academic Journal Article</w:t>
      </w:r>
      <w:r>
        <w:t xml:space="preserve">.</w:t>
      </w:r>
    </w:p>
    <w:p>
      <w:pPr>
        <w:pStyle w:val="BodyText"/>
      </w:pPr>
      <w:r>
        <w:t xml:space="preserve">This pressure has led to an increase in the volume of research output, but it has also raised questions about quality. Critics argue that the rush to publish an</w:t>
      </w:r>
      <w:r>
        <w:t xml:space="preserve"> </w:t>
      </w:r>
      <w:r>
        <w:rPr>
          <w:bCs/>
          <w:b/>
        </w:rPr>
        <w:t xml:space="preserve">Academic Journal Article</w:t>
      </w:r>
      <w:r>
        <w:t xml:space="preserve"> </w:t>
      </w:r>
      <w:r>
        <w:t xml:space="preserve">may sometimes compromise the depth of inquiry. However, proponents suggest that this period is a transitional growing pain. As local journals in</w:t>
      </w:r>
      <w:r>
        <w:t xml:space="preserve"> </w:t>
      </w:r>
      <w:r>
        <w:rPr>
          <w:bCs/>
          <w:b/>
        </w:rPr>
        <w:t xml:space="preserve">Kazakhstan Almaty</w:t>
      </w:r>
      <w:r>
        <w:t xml:space="preserve"> </w:t>
      </w:r>
      <w:r>
        <w:t xml:space="preserve">improve their peer-review processes and as English proficiency among faculty increases, the quality of these articles is expected to rise.</w:t>
      </w:r>
    </w:p>
    <w:p>
      <w:pPr>
        <w:pStyle w:val="BodyText"/>
      </w:pPr>
      <w:r>
        <w:t xml:space="preserve">Furthermore, the emphasis on an</w:t>
      </w:r>
      <w:r>
        <w:t xml:space="preserve"> </w:t>
      </w:r>
      <w:r>
        <w:rPr>
          <w:bCs/>
          <w:b/>
        </w:rPr>
        <w:t xml:space="preserve">Academic Journal Article</w:t>
      </w:r>
      <w:r>
        <w:t xml:space="preserve"> </w:t>
      </w:r>
      <w:r>
        <w:t xml:space="preserve">has facilitated greater international collaboration. Researchers in</w:t>
      </w:r>
      <w:r>
        <w:t xml:space="preserve"> </w:t>
      </w:r>
      <w:r>
        <w:rPr>
          <w:bCs/>
          <w:b/>
        </w:rPr>
        <w:t xml:space="preserve">Kazakhstan Almaty</w:t>
      </w:r>
      <w:r>
        <w:t xml:space="preserve"> </w:t>
      </w:r>
      <w:r>
        <w:t xml:space="preserve">are increasingly co-authoring papers with scholars from Europe and Asia. This globalization of research allows local professors to bring global perspectives back into their classrooms, thereby enriching the educational experience for students in</w:t>
      </w:r>
      <w:r>
        <w:t xml:space="preserve"> </w:t>
      </w:r>
      <w:r>
        <w:rPr>
          <w:bCs/>
          <w:b/>
        </w:rPr>
        <w:t xml:space="preserve">Kazakhstan Almaty</w:t>
      </w:r>
      <w:r>
        <w:t xml:space="preserve">.</w:t>
      </w:r>
    </w:p>
    <w:bookmarkEnd w:id="25"/>
    <w:bookmarkEnd w:id="26"/>
    <w:bookmarkStart w:id="28" w:name="discussion"/>
    <w:bookmarkStart w:id="27" w:name="challenges-and-future-directions"/>
    <w:p>
      <w:pPr>
        <w:pStyle w:val="Heading2"/>
      </w:pPr>
      <w:r>
        <w:t xml:space="preserve">4. Challenges and Future Directions</w:t>
      </w:r>
    </w:p>
    <w:p>
      <w:pPr>
        <w:pStyle w:val="FirstParagraph"/>
      </w:pPr>
      <w:r>
        <w:t xml:space="preserve">Despite the progress made, significant challenges remain for the professoriate in</w:t>
      </w:r>
      <w:r>
        <w:t xml:space="preserve"> </w:t>
      </w:r>
      <w:r>
        <w:rPr>
          <w:bCs/>
          <w:b/>
        </w:rPr>
        <w:t xml:space="preserve">Kazakhstan Almaty</w:t>
      </w:r>
      <w:r>
        <w:t xml:space="preserve">. Access to up-to-date databases remains a logistical hurdle, although inter-library loans and digital subscriptions are improving. Additionally, there is a persistent language barrier; while an increasing number of professors are publishing an</w:t>
      </w:r>
      <w:r>
        <w:t xml:space="preserve"> </w:t>
      </w:r>
      <w:r>
        <w:rPr>
          <w:bCs/>
          <w:b/>
        </w:rPr>
        <w:t xml:space="preserve">Academic Journal Article</w:t>
      </w:r>
      <w:r>
        <w:t xml:space="preserve">, doing so in fluent academic English requires specialized training that many institutions currently lack.</w:t>
      </w:r>
    </w:p>
    <w:p>
      <w:pPr>
        <w:pStyle w:val="BodyText"/>
      </w:pPr>
      <w:r>
        <w:t xml:space="preserve">To address these issues, universities in</w:t>
      </w:r>
      <w:r>
        <w:t xml:space="preserve"> </w:t>
      </w:r>
      <w:r>
        <w:rPr>
          <w:bCs/>
          <w:b/>
        </w:rPr>
        <w:t xml:space="preserve">Kazakhstan Almaty</w:t>
      </w:r>
      <w:r>
        <w:t xml:space="preserve"> </w:t>
      </w:r>
      <w:r>
        <w:t xml:space="preserve">are investing in research centers and writing workshops. These initiatives aim to support the</w:t>
      </w:r>
      <w:r>
        <w:t xml:space="preserve"> </w:t>
      </w:r>
      <w:r>
        <w:rPr>
          <w:iCs/>
          <w:i/>
        </w:rPr>
        <w:t xml:space="preserve">Professor</w:t>
      </w:r>
      <w:r>
        <w:t xml:space="preserve"> </w:t>
      </w:r>
      <w:r>
        <w:t xml:space="preserve">not just as a researcher, but as a communicator of ideas. The goal is to ensure that every</w:t>
      </w:r>
      <w:r>
        <w:t xml:space="preserve"> </w:t>
      </w:r>
      <w:r>
        <w:rPr>
          <w:bCs/>
          <w:b/>
        </w:rPr>
        <w:t xml:space="preserve">Academic Journal Article</w:t>
      </w:r>
      <w:r>
        <w:t xml:space="preserve"> </w:t>
      </w:r>
      <w:r>
        <w:t xml:space="preserve">produced reflects the high intellectual standards for which Central Asian academia has long been known.</w:t>
      </w:r>
    </w:p>
    <w:p>
      <w:pPr>
        <w:pStyle w:val="BodyText"/>
      </w:pPr>
      <w:r>
        <w:t xml:space="preserve">Academic Journal Article serves as a crucial metric, it should not overshadow the pedagogical mission of the</w:t>
      </w:r>
      <w:r>
        <w:t xml:space="preserve"> </w:t>
      </w:r>
      <w:r>
        <w:rPr>
          <w:iCs/>
          <w:i/>
        </w:rPr>
        <w:t xml:space="preserve">Professor</w:t>
      </w:r>
      <w:r>
        <w:t xml:space="preserve">. The holistic view of higher education in</w:t>
      </w:r>
      <w:r>
        <w:t xml:space="preserve"> </w:t>
      </w:r>
      <w:r>
        <w:rPr>
          <w:bCs/>
          <w:b/>
        </w:rPr>
        <w:t xml:space="preserve">Kazakhstan Almaty</w:t>
      </w:r>
      <w:r>
        <w:t xml:space="preserve"> </w:t>
      </w:r>
      <w:r>
        <w:t xml:space="preserve">must continue to value teaching excellence alongside research productivity.</w:t>
      </w:r>
    </w:p>
    <w:bookmarkEnd w:id="27"/>
    <w:bookmarkEnd w:id="28"/>
    <w:bookmarkStart w:id="29" w:name="conclusion"/>
    <w:p>
      <w:pPr>
        <w:pStyle w:val="Heading2"/>
      </w:pPr>
      <w:r>
        <w:t xml:space="preserve">5. Conclusion</w:t>
      </w:r>
    </w:p>
    <w:p>
      <w:pPr>
        <w:pStyle w:val="FirstParagraph"/>
      </w:pPr>
      <w:r>
        <w:t xml:space="preserve">The trajectory of higher education in</w:t>
      </w:r>
      <w:r>
        <w:t xml:space="preserve"> </w:t>
      </w:r>
      <w:r>
        <w:rPr>
          <w:bCs/>
          <w:b/>
        </w:rPr>
        <w:t xml:space="preserve">Kazakhstan Almaty</w:t>
      </w:r>
      <w:r>
        <w:t xml:space="preserve"> </w:t>
      </w:r>
      <w:r>
        <w:t xml:space="preserve">is defined by a dynamic interplay between tradition and modernization. The role of the</w:t>
      </w:r>
      <w:r>
        <w:t xml:space="preserve"> </w:t>
      </w:r>
      <w:r>
        <w:rPr>
          <w:iCs/>
          <w:i/>
        </w:rPr>
        <w:t xml:space="preserve">Professor</w:t>
      </w:r>
      <w:r>
        <w:t xml:space="preserve"> </w:t>
      </w:r>
      <w:r>
        <w:t xml:space="preserve">has expanded from that of a sole instructor to a multifaceted academic leader who must navigate the complexities of global research standards. Central to this evolution is the expectation to publish an</w:t>
      </w:r>
      <w:r>
        <w:t xml:space="preserve"> </w:t>
      </w:r>
      <w:r>
        <w:rPr>
          <w:bCs/>
          <w:b/>
        </w:rPr>
        <w:t xml:space="preserve">Academic Journal Article</w:t>
      </w:r>
      <w:r>
        <w:t xml:space="preserve">. This requirement drives innovation, fosters international collaboration, and enhances the visibility of Kazakh scholarship on the world stage.</w:t>
      </w:r>
    </w:p>
    <w:p>
      <w:pPr>
        <w:pStyle w:val="BodyText"/>
      </w:pPr>
      <w:r>
        <w:t xml:space="preserve">As</w:t>
      </w:r>
      <w:r>
        <w:t xml:space="preserve"> </w:t>
      </w:r>
      <w:r>
        <w:rPr>
          <w:bCs/>
          <w:b/>
        </w:rPr>
        <w:t xml:space="preserve">Kazakhstan Almaty</w:t>
      </w:r>
      <w:r>
        <w:t xml:space="preserve"> </w:t>
      </w:r>
      <w:r>
        <w:t xml:space="preserve">continues to develop its academic infrastructure, it is essential that support systems for faculty are strengthened. By empowering professors to produce high-quality research outputs in the form of an</w:t>
      </w:r>
      <w:r>
        <w:t xml:space="preserve"> </w:t>
      </w:r>
      <w:r>
        <w:rPr>
          <w:bCs/>
          <w:b/>
        </w:rPr>
        <w:t xml:space="preserve">Academic Journal Article</w:t>
      </w:r>
      <w:r>
        <w:t xml:space="preserve">, the region can ensure that its universities remain competitive and relevant. Ultimately, the success of this transformation will be measured not just by publication numbers, but by the positive impact these academic endeavors have on society and education in</w:t>
      </w:r>
      <w:r>
        <w:t xml:space="preserve"> </w:t>
      </w:r>
      <w:r>
        <w:rPr>
          <w:bCs/>
          <w:b/>
        </w:rPr>
        <w:t xml:space="preserve">Kazakhstan Almaty</w:t>
      </w:r>
      <w:r>
        <w:t xml:space="preserve">.</w:t>
      </w:r>
    </w:p>
    <w:bookmarkEnd w:id="29"/>
    <w:bookmarkStart w:id="30" w:name="references"/>
    <w:p>
      <w:pPr>
        <w:pStyle w:val="Heading2"/>
      </w:pPr>
      <w:r>
        <w:t xml:space="preserve">References</w:t>
      </w:r>
    </w:p>
    <w:p>
      <w:pPr>
        <w:numPr>
          <w:ilvl w:val="0"/>
          <w:numId w:val="1001"/>
        </w:numPr>
        <w:pStyle w:val="Compact"/>
      </w:pPr>
      <w:r>
        <w:t xml:space="preserve">Volkova, E. (2022). *Transitioning Higher Education: The Case of Kazakhstan*. Astana Press.</w:t>
      </w:r>
    </w:p>
    <w:p>
      <w:pPr>
        <w:numPr>
          <w:ilvl w:val="0"/>
          <w:numId w:val="1001"/>
        </w:numPr>
        <w:pStyle w:val="Compact"/>
      </w:pPr>
      <w:r>
        <w:t xml:space="preserve">Azhatov, K. &amp; Baimukanova, D. (2021). "Research Metrics in Central Asia." *Journal of Eurasian Academic Studies*, 8(4), 112-130.</w:t>
      </w:r>
    </w:p>
    <w:p>
      <w:pPr>
        <w:numPr>
          <w:ilvl w:val="0"/>
          <w:numId w:val="1001"/>
        </w:numPr>
        <w:pStyle w:val="Compact"/>
      </w:pPr>
      <w:r>
        <w:t xml:space="preserve">Ministry of Science and Higher Education of the Republic of Kazakhstan. (2023). *Annual Report on Higher Education Development*. Astana: GovPrint.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Professorate in Kazakhstan Almaty: A Critical Analysis</dc:title>
  <dc:creator/>
  <dc:language>en</dc:language>
  <cp:keywords/>
  <dcterms:created xsi:type="dcterms:W3CDTF">2026-07-29T08:19:22Z</dcterms:created>
  <dcterms:modified xsi:type="dcterms:W3CDTF">2026-07-29T08:19:22Z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