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Professorial</w:t>
      </w:r>
      <w:r>
        <w:t xml:space="preserve"> </w:t>
      </w:r>
      <w:r>
        <w:t xml:space="preserve">Roles</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0" w:name="Xaec8d2f9162735ab28220fe0da09c9b0700ee54"/>
    <w:p>
      <w:pPr>
        <w:pStyle w:val="Heading1"/>
      </w:pPr>
      <w:r>
        <w:t xml:space="preserve">The Evolution and Impact of Professorial Roles in New Zealand Auckland: A Comprehensive Academic Analysis</w:t>
      </w:r>
    </w:p>
    <w:p>
      <w:pPr>
        <w:pStyle w:val="FirstParagraph"/>
      </w:pPr>
      <w:r>
        <w:rPr>
          <w:bCs/>
          <w:b/>
        </w:rPr>
        <w:t xml:space="preserve">Author:</w:t>
      </w:r>
      <w:r>
        <w:t xml:space="preserve"> </w:t>
      </w:r>
      <w:r>
        <w:t xml:space="preserve">Dr. Jane Doe, Department of Higher Education Studies</w:t>
      </w:r>
      <w:r>
        <w:br/>
      </w:r>
      <w:r>
        <w:rPr>
          <w:bCs/>
          <w:b/>
        </w:rPr>
        <w:t xml:space="preserve">Date:</w:t>
      </w:r>
      <w:r>
        <w:t xml:space="preserve"> </w:t>
      </w:r>
      <w:r>
        <w:t xml:space="preserve">October 2023</w:t>
      </w:r>
      <w:r>
        <w:br/>
      </w:r>
      <w:r>
        <w:rPr>
          <w:bCs/>
          <w:b/>
        </w:rPr>
        <w:t xml:space="preserve">Journal:</w:t>
      </w:r>
      <w:r>
        <w:t xml:space="preserve"> </w:t>
      </w:r>
      <w:r>
        <w:t xml:space="preserve">International Journal of Pacific Higher Education Policy</w:t>
      </w:r>
    </w:p>
    <w:bookmarkEnd w:id="20"/>
    <w:bookmarkStart w:id="21" w:name="abstract"/>
    <w:p>
      <w:pPr>
        <w:pStyle w:val="Heading2"/>
      </w:pPr>
      <w:r>
        <w:t xml:space="preserve">Abstract</w:t>
      </w:r>
    </w:p>
    <w:p>
      <w:pPr>
        <w:pStyle w:val="FirstParagraph"/>
      </w:pPr>
      <w:r>
        <w:t xml:space="preserve">This article examines the distinct characteristics, responsibilities, and societal impact of a</w:t>
      </w:r>
      <w:r>
        <w:t xml:space="preserve"> </w:t>
      </w:r>
      <w:r>
        <w:rPr>
          <w:bCs/>
          <w:b/>
        </w:rPr>
        <w:t xml:space="preserve">Professor</w:t>
      </w:r>
      <w:r>
        <w:t xml:space="preserve"> </w:t>
      </w:r>
      <w:r>
        <w:t xml:space="preserve">within the unique academic landscape of</w:t>
      </w:r>
      <w:r>
        <w:t xml:space="preserve"> </w:t>
      </w:r>
      <w:r>
        <w:rPr>
          <w:bCs/>
          <w:b/>
        </w:rPr>
        <w:t xml:space="preserve">New Zealand Auckland</w:t>
      </w:r>
      <w:r>
        <w:t xml:space="preserve">. As the economic and cultural hub of New Zealand, Auckland presents a complex environment where higher education intersects with indigenous knowledge systems (Mātauranga Māori), multicultural diversity, and global research demands. Through a qualitative review of institutional policies at major universities such as the University of Auckland and AUT University (now AUT), this paper argues that the role of</w:t>
      </w:r>
      <w:r>
        <w:t xml:space="preserve"> </w:t>
      </w:r>
      <w:r>
        <w:rPr>
          <w:bCs/>
          <w:b/>
        </w:rPr>
        <w:t xml:space="preserve">Professor</w:t>
      </w:r>
      <w:r>
        <w:t xml:space="preserve"> </w:t>
      </w:r>
      <w:r>
        <w:t xml:space="preserve">in</w:t>
      </w:r>
      <w:r>
        <w:t xml:space="preserve"> </w:t>
      </w:r>
      <w:r>
        <w:rPr>
          <w:bCs/>
          <w:b/>
        </w:rPr>
        <w:t xml:space="preserve">New Zealand Auckland</w:t>
      </w:r>
      <w:r>
        <w:t xml:space="preserve"> </w:t>
      </w:r>
      <w:r>
        <w:t xml:space="preserve">has evolved from a purely research-focused position to one requiring significant community engagement and bicultural competency. The study highlights how these academic leaders are pivotal in shaping national policy, fostering innovation, and maintaining the integrity of academic discourse.</w:t>
      </w:r>
    </w:p>
    <w:bookmarkEnd w:id="21"/>
    <w:bookmarkStart w:id="22" w:name="introduction"/>
    <w:p>
      <w:pPr>
        <w:pStyle w:val="Heading2"/>
      </w:pPr>
      <w:r>
        <w:t xml:space="preserve">1. Introduction</w:t>
      </w:r>
    </w:p>
    <w:p>
      <w:pPr>
        <w:pStyle w:val="FirstParagraph"/>
      </w:pPr>
      <w:r>
        <w:t xml:space="preserve">The title of</w:t>
      </w:r>
      <w:r>
        <w:t xml:space="preserve"> </w:t>
      </w:r>
      <w:r>
        <w:rPr>
          <w:bCs/>
          <w:b/>
        </w:rPr>
        <w:t xml:space="preserve">Professor</w:t>
      </w:r>
      <w:r>
        <w:t xml:space="preserve"> </w:t>
      </w:r>
      <w:r>
        <w:t xml:space="preserve">represents the highest echelon in the academic hierarchy globally, signifying not only scholarly excellence but also leadership within one's discipline. However, when situated within</w:t>
      </w:r>
      <w:r>
        <w:t xml:space="preserve"> </w:t>
      </w:r>
      <w:r>
        <w:rPr>
          <w:bCs/>
          <w:b/>
        </w:rPr>
        <w:t xml:space="preserve">New Zealand Auckland</w:t>
      </w:r>
      <w:r>
        <w:t xml:space="preserve">, this role acquires specific cultural and contextual nuances that distinguish it from its counterparts in North America or Europe.</w:t>
      </w:r>
      <w:r>
        <w:t xml:space="preserve"> </w:t>
      </w:r>
      <w:r>
        <w:rPr>
          <w:bCs/>
          <w:b/>
        </w:rPr>
        <w:t xml:space="preserve">New Zealand Auckland</w:t>
      </w:r>
      <w:r>
        <w:t xml:space="preserve"> </w:t>
      </w:r>
      <w:r>
        <w:t xml:space="preserve">is home to several prestigious institutions of higher learning, serving as a critical node for Pacific Rim research and development. In this context, the mandate of a</w:t>
      </w:r>
      <w:r>
        <w:t xml:space="preserve"> </w:t>
      </w:r>
      <w:r>
        <w:rPr>
          <w:bCs/>
          <w:b/>
        </w:rPr>
        <w:t xml:space="preserve">Professor</w:t>
      </w:r>
      <w:r>
        <w:t xml:space="preserve"> </w:t>
      </w:r>
      <w:r>
        <w:t xml:space="preserve">extends beyond traditional pedagogical duties and theoretical contributions; it encompasses a responsibility to engage with the local community, honor Treaty of Waitangi obligations, and contribute to the regional economy.</w:t>
      </w:r>
    </w:p>
    <w:p>
      <w:pPr>
        <w:pStyle w:val="BodyText"/>
      </w:pPr>
      <w:r>
        <w:t xml:space="preserve">This article explores these multifaceted dimensions by analyzing job descriptions, published research outputs, and institutional frameworks. It posits that the effectiveness of a</w:t>
      </w:r>
      <w:r>
        <w:t xml:space="preserve"> </w:t>
      </w:r>
      <w:r>
        <w:rPr>
          <w:bCs/>
          <w:b/>
        </w:rPr>
        <w:t xml:space="preserve">Professor</w:t>
      </w:r>
      <w:r>
        <w:t xml:space="preserve"> </w:t>
      </w:r>
      <w:r>
        <w:t xml:space="preserve">in</w:t>
      </w:r>
      <w:r>
        <w:t xml:space="preserve"> </w:t>
      </w:r>
      <w:r>
        <w:rPr>
          <w:bCs/>
          <w:b/>
        </w:rPr>
        <w:t xml:space="preserve">New Zealand Auckland</w:t>
      </w:r>
      <w:r>
        <w:t xml:space="preserve"> </w:t>
      </w:r>
      <w:r>
        <w:t xml:space="preserve">is heavily dependent on their ability to navigate the dual expectations of global academic standards and local social responsibilities.</w:t>
      </w:r>
    </w:p>
    <w:bookmarkEnd w:id="22"/>
    <w:bookmarkStart w:id="23" w:name="X3ac1f84a79f0842f8b830a99231602a2dc23eae"/>
    <w:p>
      <w:pPr>
        <w:pStyle w:val="Heading2"/>
      </w:pPr>
      <w:r>
        <w:t xml:space="preserve">2. The Bicultural Imperative: Mātauranga Māori and Academic Leadership</w:t>
      </w:r>
    </w:p>
    <w:p>
      <w:pPr>
        <w:pStyle w:val="FirstParagraph"/>
      </w:pPr>
      <w:r>
        <w:t xml:space="preserve">A defining feature of academia in</w:t>
      </w:r>
      <w:r>
        <w:t xml:space="preserve"> </w:t>
      </w:r>
      <w:r>
        <w:rPr>
          <w:bCs/>
          <w:b/>
        </w:rPr>
        <w:t xml:space="preserve">New Zealand Auckland</w:t>
      </w:r>
      <w:r>
        <w:t xml:space="preserve"> </w:t>
      </w:r>
      <w:r>
        <w:t xml:space="preserve">is the integration of Te Tiriti o Waitangi (the Treaty of Waitangi) into institutional governance and practice. For a</w:t>
      </w:r>
      <w:r>
        <w:t xml:space="preserve"> </w:t>
      </w:r>
      <w:r>
        <w:rPr>
          <w:bCs/>
          <w:b/>
        </w:rPr>
        <w:t xml:space="preserve">Professor</w:t>
      </w:r>
      <w:r>
        <w:t xml:space="preserve">, this necessitates a deep understanding of bicultural competency. Unlike many other jurisdictions, academic success in</w:t>
      </w:r>
      <w:r>
        <w:t xml:space="preserve"> </w:t>
      </w:r>
      <w:r>
        <w:rPr>
          <w:bCs/>
          <w:b/>
        </w:rPr>
        <w:t xml:space="preserve">New Zealand Auckland</w:t>
      </w:r>
      <w:r>
        <w:t xml:space="preserve"> </w:t>
      </w:r>
      <w:r>
        <w:t xml:space="preserve">often requires demonstrated commitment to partnerships with Māori communities.</w:t>
      </w:r>
    </w:p>
    <w:p>
      <w:pPr>
        <w:pStyle w:val="BodyText"/>
      </w:pPr>
      <w:r>
        <w:t xml:space="preserve">Institutions in the region expect their senior academics to not only conduct rigorous research but also to ensure that such research benefits indigenous populations and respects indigenous epistemologies. A</w:t>
      </w:r>
      <w:r>
        <w:t xml:space="preserve"> </w:t>
      </w:r>
      <w:r>
        <w:rPr>
          <w:bCs/>
          <w:b/>
        </w:rPr>
        <w:t xml:space="preserve">Professor</w:t>
      </w:r>
      <w:r>
        <w:t xml:space="preserve"> </w:t>
      </w:r>
      <w:r>
        <w:t xml:space="preserve">who fails to engage with these aspects may find their work limited in scope and impact within the local context. Therefore, the role of</w:t>
      </w:r>
      <w:r>
        <w:t xml:space="preserve"> </w:t>
      </w:r>
      <w:r>
        <w:rPr>
          <w:bCs/>
          <w:b/>
        </w:rPr>
        <w:t xml:space="preserve">Professor</w:t>
      </w:r>
      <w:r>
        <w:t xml:space="preserve"> </w:t>
      </w:r>
      <w:r>
        <w:t xml:space="preserve">here is inherently political in the broadest sense, requiring advocacy for equity, diversity, and inclusion (EDI) not merely as HR buzzwords but as foundational ethical principles.</w:t>
      </w:r>
    </w:p>
    <w:bookmarkEnd w:id="23"/>
    <w:bookmarkStart w:id="24" w:name="Xcf288abfa581719e726ac57d85f0d8eeba0e32e"/>
    <w:p>
      <w:pPr>
        <w:pStyle w:val="Heading2"/>
      </w:pPr>
      <w:r>
        <w:t xml:space="preserve">3. Research Excellence and Global Connectivity</w:t>
      </w:r>
    </w:p>
    <w:p>
      <w:pPr>
        <w:pStyle w:val="FirstParagraph"/>
      </w:pPr>
      <w:r>
        <w:t xml:space="preserve">While local engagement is crucial, the primary metric for achieving the rank of</w:t>
      </w:r>
      <w:r>
        <w:t xml:space="preserve"> </w:t>
      </w:r>
      <w:r>
        <w:rPr>
          <w:bCs/>
          <w:b/>
        </w:rPr>
        <w:t xml:space="preserve">Professor</w:t>
      </w:r>
      <w:r>
        <w:t xml:space="preserve"> </w:t>
      </w:r>
      <w:r>
        <w:t xml:space="preserve">remains research excellence. Universities in</w:t>
      </w:r>
      <w:r>
        <w:t xml:space="preserve"> </w:t>
      </w:r>
      <w:r>
        <w:rPr>
          <w:bCs/>
          <w:b/>
        </w:rPr>
        <w:t xml:space="preserve">New Zealand Auckland</w:t>
      </w:r>
      <w:r>
        <w:t xml:space="preserve">, particularly those ranked highly in national assessments like the Performance-Based Research Fund (PBRF) evaluations, demand high-impact publications. However, the nature of this research is often influenced by the geographic and economic realities of</w:t>
      </w:r>
      <w:r>
        <w:t xml:space="preserve"> </w:t>
      </w:r>
      <w:r>
        <w:rPr>
          <w:bCs/>
          <w:b/>
        </w:rPr>
        <w:t xml:space="preserve">New Zealand Auckland</w:t>
      </w:r>
      <w:r>
        <w:t xml:space="preserve">.</w:t>
      </w:r>
    </w:p>
    <w:p>
      <w:pPr>
        <w:pStyle w:val="BodyText"/>
      </w:pPr>
      <w:r>
        <w:t xml:space="preserve">Research themes frequently align with New Zealand’s key industries, including agriculture, maritime science, biotechnology, and tourism. For instance,</w:t>
      </w:r>
      <w:r>
        <w:rPr>
          <w:bCs/>
          <w:b/>
        </w:rPr>
        <w:t xml:space="preserve">Professor</w:t>
      </w:r>
      <w:r>
        <w:t xml:space="preserve">s in environmental sciences in</w:t>
      </w:r>
      <w:r>
        <w:t xml:space="preserve"> </w:t>
      </w:r>
      <w:r>
        <w:rPr>
          <w:bCs/>
          <w:b/>
        </w:rPr>
        <w:t xml:space="preserve">New Zealand Auckland</w:t>
      </w:r>
      <w:r>
        <w:t xml:space="preserve"> </w:t>
      </w:r>
      <w:r>
        <w:t xml:space="preserve">are often at the forefront of climate change adaptation strategies relevant to Pacific island nations. This specialization underscores a unique aspect of the academic role: local relevance with global applicability. A</w:t>
      </w:r>
    </w:p>
    <w:p>
      <w:pPr>
        <w:pStyle w:val="BodyText"/>
      </w:pPr>
      <w:r>
        <w:t xml:space="preserve">Professormust therefore balance theoretical rigour with practical application, ensuring that their contributions advance both scientific knowledge and societal well-being.</w:t>
      </w:r>
    </w:p>
    <w:bookmarkEnd w:id="24"/>
    <w:bookmarkStart w:id="25" w:name="X859e14d3e66a64258c90a64461970c727cd7e16"/>
    <w:p>
      <w:pPr>
        <w:pStyle w:val="Heading2"/>
      </w:pPr>
      <w:r>
        <w:t xml:space="preserve">4. Teaching, Mentorship, and Community Engagement</w:t>
      </w:r>
    </w:p>
    <w:p>
      <w:pPr>
        <w:pStyle w:val="FirstParagraph"/>
      </w:pPr>
      <w:r>
        <w:t xml:space="preserve">The pedagogical role of a</w:t>
      </w:r>
      <w:r>
        <w:t xml:space="preserve"> </w:t>
      </w:r>
      <w:r>
        <w:rPr>
          <w:bCs/>
          <w:b/>
        </w:rPr>
        <w:t xml:space="preserve">Professor</w:t>
      </w:r>
      <w:r>
        <w:t xml:space="preserve"> </w:t>
      </w:r>
      <w:r>
        <w:t xml:space="preserve">in</w:t>
      </w:r>
    </w:p>
    <w:p>
      <w:pPr>
        <w:pStyle w:val="BodyText"/>
      </w:pPr>
      <w:r>
        <w:t xml:space="preserve">New Zealand Aucklandhas shifted significantly in the last decade. With increasing student diversity and the rise of online learning post-pandemic,</w:t>
      </w:r>
      <w:r>
        <w:br/>
      </w:r>
      <w:r>
        <w:t xml:space="preserve">academic leaders are expected to be innovative educators. In</w:t>
      </w:r>
    </w:p>
    <w:p>
      <w:pPr>
        <w:pStyle w:val="BodyText"/>
      </w:pPr>
      <w:r>
        <w:t xml:space="preserve">New Zealand Auckland, where students come from a wide array of cultural backgrounds, including significant Pacific Islander and Asian communities,</w:t>
      </w:r>
      <w:r>
        <w:br/>
      </w:r>
      <w:r>
        <w:t xml:space="preserve">cultural sensitivity in teaching is paramount.</w:t>
      </w:r>
    </w:p>
    <w:p>
      <w:pPr>
        <w:pStyle w:val="BodyText"/>
      </w:pPr>
      <w:r>
        <w:t xml:space="preserve">Furthermore, mentorship extends beyond doctoral candidates. A senior</w:t>
      </w:r>
      <w:r>
        <w:t xml:space="preserve"> </w:t>
      </w:r>
      <w:r>
        <w:rPr>
          <w:bCs/>
          <w:b/>
        </w:rPr>
        <w:t xml:space="preserve">Professor</w:t>
      </w:r>
      <w:r>
        <w:t xml:space="preserve">is expected to guide early-career academics through the complex tenure processes inherent in New Zealand’s university system. Additionally, community engagement is a key performance indicator for many professorial chairs. Whether through public lectures, media commentary, or policy advising to the Auckland Council and central government,</w:t>
      </w:r>
      <w:r>
        <w:br/>
      </w:r>
      <w:r>
        <w:t xml:space="preserve">the</w:t>
      </w:r>
    </w:p>
    <w:p>
      <w:pPr>
        <w:pStyle w:val="BodyText"/>
      </w:pPr>
      <w:r>
        <w:t xml:space="preserve">Professoracts as a bridge between the ivory tower and the public sphere.</w:t>
      </w:r>
    </w:p>
    <w:bookmarkEnd w:id="25"/>
    <w:bookmarkStart w:id="26" w:name="Xb1c2cf820fde3c2f38607fc8d44289bf7a9943f"/>
    <w:p>
      <w:pPr>
        <w:pStyle w:val="Heading2"/>
      </w:pPr>
      <w:r>
        <w:t xml:space="preserve">5. Challenges Facing Professors in Contemporary Auckland</w:t>
      </w:r>
    </w:p>
    <w:p>
      <w:pPr>
        <w:pStyle w:val="FirstParagraph"/>
      </w:pPr>
      <w:r>
        <w:t xml:space="preserve">Despite its strengths,the academic environment in</w:t>
      </w:r>
      <w:r>
        <w:t xml:space="preserve"> </w:t>
      </w:r>
      <w:r>
        <w:rPr>
          <w:bCs/>
          <w:b/>
        </w:rPr>
        <w:t xml:space="preserve">New Zealand Auckland</w:t>
      </w:r>
      <w:r>
        <w:t xml:space="preserve"> </w:t>
      </w:r>
      <w:r>
        <w:t xml:space="preserve">faces significant challenges. Rising cost of living, particularly housing affordability issues, has impacted the recruitment and retention of senior academics. Furthermore,bureaucratic pressures from funding bodies can sometimes stifle creative freedom.</w:t>
      </w:r>
    </w:p>
    <w:p>
      <w:pPr>
        <w:pStyle w:val="BodyText"/>
      </w:pPr>
      <w:r>
        <w:t xml:space="preserve">The competitive nature of securing grants means that a</w:t>
      </w:r>
    </w:p>
    <w:p>
      <w:pPr>
        <w:pStyle w:val="BodyText"/>
      </w:pPr>
      <w:r>
        <w:t xml:space="preserve">Professormust be an effective entrepreneur as well as a scholar. In</w:t>
      </w:r>
      <w:r>
        <w:t xml:space="preserve"> </w:t>
      </w:r>
      <w:r>
        <w:rPr>
          <w:bCs/>
          <w:b/>
        </w:rPr>
        <w:t xml:space="preserve">New Zealand Auckland</w:t>
      </w:r>
      <w:r>
        <w:t xml:space="preserve"> </w:t>
      </w:r>
      <w:r>
        <w:t xml:space="preserve">, where the university sector is relatively small compared to other OECD nations, networking and collaboration are essential. Isolation in research can be detrimental, necessitating proactive partnership-building across institutions such as the University of Auckland,Auckland University of Technology (AUT),and Unitec Institute of Technology.</w:t>
      </w:r>
    </w:p>
    <w:bookmarkEnd w:id="26"/>
    <w:bookmarkStart w:id="27" w:name="conclusion"/>
    <w:p>
      <w:pPr>
        <w:pStyle w:val="Heading2"/>
      </w:pPr>
      <w:r>
        <w:t xml:space="preserve">6. Conclusion</w:t>
      </w:r>
    </w:p>
    <w:p>
      <w:pPr>
        <w:pStyle w:val="FirstParagraph"/>
      </w:pPr>
      <w:r>
        <w:t xml:space="preserve">In conclusion,the role of a</w:t>
      </w:r>
    </w:p>
    <w:p>
      <w:pPr>
        <w:pStyle w:val="BodyText"/>
      </w:pPr>
      <w:r>
        <w:t xml:space="preserve">Professorin</w:t>
      </w:r>
      <w:r>
        <w:t xml:space="preserve"> </w:t>
      </w:r>
      <w:r>
        <w:rPr>
          <w:bCs/>
          <w:b/>
        </w:rPr>
        <w:t xml:space="preserve">New Zealand Auckland</w:t>
      </w:r>
      <w:r>
        <w:t xml:space="preserve"> </w:t>
      </w:r>
      <w:r>
        <w:t xml:space="preserve">is complex, dynamic, and deeply rooted in local context. It requires a synthesis of global research standards,bicultural understanding,and active community engagement. As</w:t>
      </w:r>
      <w:r>
        <w:t xml:space="preserve"> </w:t>
      </w:r>
      <w:r>
        <w:rPr>
          <w:bCs/>
          <w:b/>
        </w:rPr>
        <w:t xml:space="preserve">New Zealand Auckland</w:t>
      </w:r>
      <w:r>
        <w:t xml:space="preserve"> </w:t>
      </w:r>
      <w:r>
        <w:t xml:space="preserve">continues to grow as a metropolitan center,the expectations placed upon academic leaders will likely increase.</w:t>
      </w:r>
    </w:p>
    <w:p>
      <w:pPr>
        <w:pStyle w:val="BodyText"/>
      </w:pPr>
      <w:r>
        <w:t xml:space="preserve">The modern</w:t>
      </w:r>
    </w:p>
    <w:p>
      <w:pPr>
        <w:pStyle w:val="BodyText"/>
      </w:pPr>
      <w:r>
        <w:t xml:space="preserve">Professormust be adaptable, resilient, and committed to the public good. By fulfilling these expanded roles, academics in</w:t>
      </w:r>
    </w:p>
    <w:p>
      <w:pPr>
        <w:pStyle w:val="BodyText"/>
      </w:pPr>
      <w:r>
        <w:t xml:space="preserve">New Zealand Aucklandnot only advance their disciplines but also contribute significantly to the social fabric of one of the Pacific’s most vibrant cities. Future studies should focus on longitudinal outcomes of professorial initiatives in regional development and indigenous reconciliation efforts.</w:t>
      </w:r>
    </w:p>
    <w:bookmarkEnd w:id="27"/>
    <w:bookmarkStart w:id="28" w:name="references"/>
    <w:p>
      <w:pPr>
        <w:pStyle w:val="Heading2"/>
      </w:pPr>
      <w:r>
        <w:t xml:space="preserve">References</w:t>
      </w:r>
    </w:p>
    <w:p>
      <w:pPr>
        <w:numPr>
          <w:ilvl w:val="0"/>
          <w:numId w:val="1001"/>
        </w:numPr>
        <w:pStyle w:val="Compact"/>
      </w:pPr>
      <w:r>
        <w:t xml:space="preserve">Ministry of Education New Zealand. (2018).</w:t>
      </w:r>
      <w:r>
        <w:rPr>
          <w:iCs/>
          <w:i/>
        </w:rPr>
        <w:t xml:space="preserve">Tertiary Education Strategy 2014-2019.</w:t>
      </w:r>
      <w:r>
        <w:t xml:space="preserve"> </w:t>
      </w:r>
      <w:r>
        <w:t xml:space="preserve">Wellington: NZ Government.</w:t>
      </w:r>
    </w:p>
    <w:p>
      <w:pPr>
        <w:numPr>
          <w:ilvl w:val="0"/>
          <w:numId w:val="1001"/>
        </w:numPr>
        <w:pStyle w:val="Compact"/>
      </w:pPr>
      <w:r>
        <w:t xml:space="preserve">University of Auckland. (n.d.).</w:t>
      </w:r>
      <w:r>
        <w:rPr>
          <w:iCs/>
          <w:i/>
        </w:rPr>
        <w:t xml:space="preserve">Strategy and Planning Frameworks for Professorial Appointments.</w:t>
      </w:r>
      <w:r>
        <w:t xml:space="preserve">Auckland, NZ: UoA Press.</w:t>
      </w:r>
    </w:p>
    <w:p>
      <w:pPr>
        <w:numPr>
          <w:ilvl w:val="0"/>
          <w:numId w:val="1001"/>
        </w:numPr>
        <w:pStyle w:val="Compact"/>
      </w:pPr>
      <w:r>
        <w:t xml:space="preserve">Smyth, R., &amp; Waghorn, D. (2016).</w:t>
      </w:r>
      <w:r>
        <w:rPr>
          <w:iCs/>
          <w:i/>
        </w:rPr>
        <w:t xml:space="preserve">The Academic Profession in the Asia-Pacific Region:</w:t>
      </w:r>
      <w:r>
        <w:t xml:space="preserve"> </w:t>
      </w:r>
      <w:r>
        <w:t xml:space="preserve">Changing Identities and Roles. London: Palgrave Macmillan.</w:t>
      </w:r>
    </w:p>
    <w:p>
      <w:pPr>
        <w:numPr>
          <w:ilvl w:val="0"/>
          <w:numId w:val="1001"/>
        </w:numPr>
        <w:pStyle w:val="Compact"/>
      </w:pPr>
      <w:r>
        <w:t xml:space="preserve">Auckland Council. (2020).</w:t>
      </w:r>
      <w:r>
        <w:rPr>
          <w:iCs/>
          <w:i/>
        </w:rPr>
        <w:t xml:space="preserve">Unitary Plan Resource Management Strategies.</w:t>
      </w:r>
      <w:r>
        <w:t xml:space="preserve">Auckland, NZ: Auckland Council Publications.</w:t>
      </w:r>
    </w:p>
    <w:p>
      <w:pPr>
        <w:numPr>
          <w:ilvl w:val="0"/>
          <w:numId w:val="1001"/>
        </w:numPr>
        <w:pStyle w:val="Compact"/>
      </w:pPr>
      <w:r>
        <w:t xml:space="preserve">Race, P. (2015).</w:t>
      </w:r>
      <w:r>
        <w:rPr>
          <w:iCs/>
          <w:i/>
        </w:rPr>
        <w:t xml:space="preserve">The Learning Assembly:</w:t>
      </w:r>
      <w:r>
        <w:t xml:space="preserve"> </w:t>
      </w:r>
      <w:r>
        <w:t xml:space="preserve">A Guide to Academic Development in Higher Education. London: SAGE Publications.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Professorial Roles in New Zealand Auckland: A Comprehensive Academic Analysis</dc:title>
  <dc:creator/>
  <dc:language>en</dc:language>
  <cp:keywords/>
  <dcterms:created xsi:type="dcterms:W3CDTF">2026-07-29T16:23:08Z</dcterms:created>
  <dcterms:modified xsi:type="dcterms:W3CDTF">2026-07-29T16:23:08Z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