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Professorial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Higher</w:t>
      </w:r>
      <w:r>
        <w:t xml:space="preserve"> </w:t>
      </w:r>
      <w:r>
        <w:t xml:space="preserve">Education: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Tashkent,</w:t>
      </w:r>
      <w:r>
        <w:t xml:space="preserve"> </w:t>
      </w:r>
      <w:r>
        <w:t xml:space="preserve">Uzbekistan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Strategic Importance of the Professorial Role in Higher Education: A Case Study of Tashkent, Uzbekistan</dc:title>
  <dc:creator/>
  <dc:language>en</dc:language>
  <cp:keywords/>
  <dcterms:created xsi:type="dcterms:W3CDTF">2026-07-29T12:26:46Z</dcterms:created>
  <dcterms:modified xsi:type="dcterms:W3CDTF">2026-07-29T12:26:46Z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