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6" w:name="X3801f7bddee6768a03bdc7d3ab6e234304cf1c4"/>
    <w:p>
      <w:pPr>
        <w:pStyle w:val="Heading1"/>
      </w:pPr>
      <w:r>
        <w:t xml:space="preserve">The Evolution and Impact of Robotics Engineering in Germany: A Case Study of Frankfurt am Main</w:t>
      </w:r>
    </w:p>
    <w:p>
      <w:pPr>
        <w:pStyle w:val="FirstParagraph"/>
      </w:pPr>
      <w:r>
        <w:rPr>
          <w:bCs/>
          <w:b/>
        </w:rPr>
        <w:t xml:space="preserve">Abstract</w:t>
      </w:r>
    </w:p>
    <w:p>
      <w:pPr>
        <w:pStyle w:val="BodyText"/>
      </w:pPr>
      <w:r>
        <w:t xml:space="preserve">This academic article explores the pivotal role of robotics engineering within the broader context of Germany’s industrial infrastructure, with a specific focus on Frankfurt am Main. As Germany continues to lead the charge in Industry 4.0, the integration of advanced robotic systems into financial services, logistics, and manufacturing sectors has become increasingly critical. This paper examines how Robotics Engineers in Frankfurt are adapting to local regulatory frameworks and economic demands while contributing to global technological advancements.</w:t>
      </w:r>
    </w:p>
    <w:bookmarkStart w:id="25" w:name="introduction"/>
    <w:p>
      <w:pPr>
        <w:pStyle w:val="Heading2"/>
      </w:pPr>
      <w:r>
        <w:t xml:space="preserve">1. Introduction</w:t>
      </w:r>
    </w:p>
    <w:p>
      <w:pPr>
        <w:pStyle w:val="FirstParagraph"/>
      </w:pPr>
      <w:r>
        <w:t xml:space="preserve">The intersection of traditional German engineering excellence and modern digital innovation has created a fertile ground for the advancement of robotics. While cities like Munich and Stuttgart are often cited as hubs for automotive robotics, Frankfurt am Main has emerged as a unique ecosystem where financial technology (FinTech) meets industrial automation. This article analyzes the specific contributions of</w:t>
      </w:r>
      <w:r>
        <w:t xml:space="preserve"> </w:t>
      </w:r>
      <w:r>
        <w:rPr>
          <w:bCs/>
          <w:b/>
        </w:rPr>
        <w:t xml:space="preserve">Robotics Engineers</w:t>
      </w:r>
      <w:r>
        <w:t xml:space="preserve"> </w:t>
      </w:r>
      <w:r>
        <w:t xml:space="preserve">operating within</w:t>
      </w:r>
      <w:r>
        <w:t xml:space="preserve"> </w:t>
      </w:r>
      <w:r>
        <w:rPr>
          <w:bCs/>
          <w:b/>
        </w:rPr>
        <w:t xml:space="preserve">Germany</w:t>
      </w:r>
      <w:r>
        <w:t xml:space="preserve">, particularly in the commercial heart of Europe: Frankfurt.</w:t>
      </w:r>
    </w:p>
    <w:p>
      <w:pPr>
        <w:pStyle w:val="BodyText"/>
      </w:pPr>
      <w:r>
        <w:t xml:space="preserve">The mandate for this study is to understand how local educational institutions, corporate entities, and government policies in</w:t>
      </w:r>
      <w:r>
        <w:t xml:space="preserve"> </w:t>
      </w:r>
      <w:r>
        <w:rPr>
          <w:bCs/>
          <w:b/>
        </w:rPr>
        <w:t xml:space="preserve">Germany</w:t>
      </w:r>
      <w:r>
        <w:rPr>
          <w:iCs/>
          <w:i/>
        </w:rPr>
        <w:t xml:space="preserve">Frankfurt</w:t>
      </w:r>
    </w:p>
    <w:p>
      <w:pPr>
        <w:pStyle w:val="BodyText"/>
      </w:pPr>
      <w:r>
        <w:t xml:space="preserve"> </w:t>
      </w:r>
    </w:p>
    <w:p>
      <w:pPr>
        <w:pStyle w:val="BodyText"/>
      </w:pPr>
      <w:r>
        <w:rPr>
          <w:bCs/>
          <w:b/>
        </w:rPr>
        <w:t xml:space="preserve">Educational Foundation</w:t>
      </w:r>
      <w:r>
        <w:t xml:space="preserve">: Institutions like Goethe University Frankfurt provide rigorous theoretical training.</w:t>
      </w:r>
    </w:p>
    <w:p>
      <w:pPr>
        <w:pStyle w:val="BodyText"/>
      </w:pPr>
      <w:r>
        <w:rPr>
          <w:bCs/>
          <w:b/>
        </w:rPr>
        <w:t xml:space="preserve">Industrial Application</w:t>
      </w:r>
      <w:r>
        <w:t xml:space="preserve">: Banks and logistics firms in</w:t>
      </w:r>
      <w:r>
        <w:t xml:space="preserve"> </w:t>
      </w:r>
      <w:r>
        <w:rPr>
          <w:bCs/>
          <w:b/>
        </w:rPr>
        <w:t xml:space="preserve">Germany</w:t>
      </w:r>
    </w:p>
    <w:p>
      <w:pPr>
        <w:pStyle w:val="BodyText"/>
      </w:pPr>
      <w:r>
        <w:t xml:space="preserve"> </w:t>
      </w:r>
    </w:p>
    <w:p>
      <w:pPr>
        <w:pStyle w:val="BodyText"/>
      </w:pPr>
      <w:r>
        <w:rPr>
          <w:bCs/>
          <w:b/>
        </w:rPr>
        <w:t xml:space="preserve">Social Impact</w:t>
      </w:r>
      <w:r>
        <w:t xml:space="preserve">: The need for reskilling the workforce to work alongside AI-driven robots.</w:t>
      </w:r>
    </w:p>
    <w:p>
      <w:pPr>
        <w:pStyle w:val="BodyText"/>
      </w:pPr>
      <w:r>
        <w:t xml:space="preserve"> </w:t>
      </w:r>
    </w:p>
    <w:bookmarkStart w:id="20" w:name="X7fa908426530a3f1b414bfdb8bc6ec00684e1f0"/>
    <w:p>
      <w:pPr>
        <w:pStyle w:val="Heading3"/>
      </w:pPr>
      <w:r>
        <w:t xml:space="preserve">3.1 The Role of Robotics Engineers in Frankfurt</w:t>
      </w:r>
    </w:p>
    <w:p>
      <w:pPr>
        <w:pStyle w:val="FirstParagraph"/>
      </w:pPr>
      <w:r>
        <w:t xml:space="preserve">In</w:t>
      </w:r>
    </w:p>
    <w:p>
      <w:pPr>
        <w:pStyle w:val="BodyText"/>
      </w:pPr>
      <w:r>
        <w:t xml:space="preserve">Frankfurt</w:t>
      </w:r>
    </w:p>
    <w:p>
      <w:pPr>
        <w:pStyle w:val="BodyText"/>
      </w:pPr>
      <w:r>
        <w:t xml:space="preserve"> </w:t>
      </w:r>
    </w:p>
    <w:p>
      <w:pPr>
        <w:pStyle w:val="BodyText"/>
      </w:pPr>
      <w:r>
        <w:t xml:space="preserve">填例，Frankfurt is not just a financial hub, but a logistical nexus connecting Europe to the rest of the world. Consequently, Robotics Engineers here are tasked with designing autonomous systems for warehouse management and automated trading algorithms that require physical server maintenance robots.</w:t>
      </w:r>
    </w:p>
    <w:bookmarkEnd w:id="20"/>
    <w:bookmarkStart w:id="24" w:name="regulatory-compliance-in-germany"/>
    <w:p>
      <w:pPr>
        <w:pStyle w:val="Heading3"/>
      </w:pPr>
      <w:r>
        <w:t xml:space="preserve">3.2 Regulatory Compliance in Germany</w:t>
      </w:r>
    </w:p>
    <w:p>
      <w:pPr>
        <w:pStyle w:val="FirstParagraph"/>
      </w:pPr>
      <w:r>
        <w:t xml:space="preserve">A critical aspect of being a</w:t>
      </w:r>
      <w:r>
        <w:t xml:space="preserve"> </w:t>
      </w:r>
      <w:r>
        <w:rPr>
          <w:bCs/>
          <w:b/>
        </w:rPr>
        <w:t xml:space="preserve">Robotics Engineer</w:t>
      </w:r>
      <w:r>
        <w:t xml:space="preserve">Germany</w:t>
      </w:r>
    </w:p>
    <w:p>
      <w:pPr>
        <w:pStyle w:val="BodyText"/>
      </w:pPr>
      <w:r>
        <w:t xml:space="preserve"> </w:t>
      </w:r>
    </w:p>
    <w:p>
      <w:pPr>
        <w:pStyle w:val="BodyText"/>
      </w:pPr>
      <w:r>
        <w:rPr>
          <w:bCs/>
          <w:b/>
        </w:rPr>
        <w:t xml:space="preserve">Safety Standards</w:t>
      </w:r>
      <w:r>
        <w:t xml:space="preserve">: Strict adherence to DIN EN ISO standards.</w:t>
      </w:r>
    </w:p>
    <w:p>
      <w:pPr>
        <w:pStyle w:val="BodyText"/>
      </w:pPr>
      <w:r>
        <w:t xml:space="preserve">Data Privacy: Compliance with GDPR for robots handling sensitive data.</w:t>
      </w:r>
    </w:p>
    <w:p>
      <w:pPr>
        <w:pStyle w:val="BodyText"/>
      </w:pPr>
      <w:r>
        <w:t xml:space="preserve">注意,：</w:t>
      </w:r>
    </w:p>
    <w:p>
      <w:pPr>
        <w:pStyle w:val="BodyText"/>
      </w:pPr>
      <w:r>
        <w:t xml:space="preserve">主要特点:</w:t>
      </w:r>
    </w:p>
    <w:p>
      <w:pPr>
        <w:pStyle w:val="BodyText"/>
      </w:pPr>
      <w:r>
        <w:t xml:space="preserve">High precision and reliability are expected due to the high-stakes nature of financial transactions handled by automated systems in</w:t>
      </w:r>
    </w:p>
    <w:p>
      <w:pPr>
        <w:pStyle w:val="BodyText"/>
      </w:pPr>
      <w:r>
        <w:t xml:space="preserve">Frankfurt</w:t>
      </w:r>
    </w:p>
    <w:p>
      <w:pPr>
        <w:pStyle w:val="BodyText"/>
      </w:pPr>
      <w:r>
        <w:t xml:space="preserve"> </w:t>
      </w:r>
    </w:p>
    <w:p>
      <w:pPr>
        <w:pStyle w:val="BodyText"/>
      </w:pPr>
      <w:r>
        <w:rPr>
          <w:bCs/>
          <w:b/>
        </w:rPr>
        <w:t xml:space="preserve">Innovation Hubs</w:t>
      </w:r>
      <w:r>
        <w:t xml:space="preserve">: Collaboration with start-ups and established firms like Deutsche Bank.</w:t>
      </w:r>
    </w:p>
    <w:p>
      <w:pPr>
        <w:pStyle w:val="BodyText"/>
      </w:pPr>
      <w:r>
        <w:t xml:space="preserve">总结:</w:t>
      </w:r>
    </w:p>
    <w:p>
      <w:pPr>
        <w:pStyle w:val="BodyText"/>
      </w:pPr>
      <w:r>
        <w:t xml:space="preserve">A robust framework for innovation supported by both public and private sectors.</w:t>
      </w:r>
    </w:p>
    <w:p>
      <w:pPr>
        <w:pStyle w:val="BodyText"/>
      </w:pPr>
      <w:r>
        <w:t xml:space="preserve"> </w:t>
      </w:r>
    </w:p>
    <w:bookmarkStart w:id="21" w:name="challenges-and-future-prospects"/>
    <w:p>
      <w:pPr>
        <w:pStyle w:val="Heading4"/>
      </w:pPr>
      <w:r>
        <w:t xml:space="preserve">5. Challenges and Future Prospects</w:t>
      </w:r>
    </w:p>
    <w:p>
      <w:pPr>
        <w:pStyle w:val="FirstParagraph"/>
      </w:pPr>
      <w:r>
        <w:t xml:space="preserve">The road ahead for</w:t>
      </w:r>
      <w:r>
        <w:t xml:space="preserve"> </w:t>
      </w:r>
      <w:r>
        <w:rPr>
          <w:bCs/>
          <w:b/>
        </w:rPr>
        <w:t xml:space="preserve">Robotics Engineers</w:t>
      </w:r>
      <w:r>
        <w:t xml:space="preserve">Germany</w:t>
      </w:r>
    </w:p>
    <w:p>
      <w:pPr>
        <w:pStyle w:val="BodyText"/>
      </w:pPr>
      <w:r>
        <w:t xml:space="preserve"> </w:t>
      </w:r>
    </w:p>
    <w:p>
      <w:pPr>
        <w:pStyle w:val="BodyText"/>
      </w:pPr>
      <w:r>
        <w:rPr>
          <w:bCs/>
          <w:b/>
        </w:rPr>
        <w:t xml:space="preserve">Talent Shortage</w:t>
      </w:r>
      <w:r>
        <w:t xml:space="preserve">: There is a noticeable gap between the demand for skilled engineers and available graduates.</w:t>
      </w:r>
    </w:p>
    <w:p>
      <w:pPr>
        <w:pStyle w:val="BodyText"/>
      </w:pPr>
      <w:r>
        <w:t xml:space="preserve">提议:</w:t>
      </w:r>
    </w:p>
    <w:p>
      <w:pPr>
        <w:pStyle w:val="BodyText"/>
      </w:pPr>
      <w:r>
        <w:t xml:space="preserve">Universities in</w:t>
      </w:r>
    </w:p>
    <w:p>
      <w:pPr>
        <w:pStyle w:val="BodyText"/>
      </w:pPr>
      <w:r>
        <w:t xml:space="preserve">Frankfurt</w:t>
      </w:r>
    </w:p>
    <w:p>
      <w:pPr>
        <w:pStyle w:val="BodyText"/>
      </w:pPr>
      <w:r>
        <w:t xml:space="preserve"> </w:t>
      </w:r>
    </w:p>
    <w:p>
      <w:pPr>
        <w:pStyle w:val="BodyText"/>
      </w:pPr>
      <w:r>
        <w:t xml:space="preserve">Interdisciplinary Learning: Encouraging engineers to learn both finance and robotics.</w:t>
      </w:r>
    </w:p>
    <w:p>
      <w:pPr>
        <w:pStyle w:val="BodyText"/>
      </w:pPr>
      <w:r>
        <w:t xml:space="preserve">未来趋势:</w:t>
      </w:r>
    </w:p>
    <w:p>
      <w:pPr>
        <w:pStyle w:val="BodyText"/>
      </w:pPr>
      <w:r>
        <w:t xml:space="preserve">The rise of collaborative robots (cobots) in office environments for document processing.</w:t>
      </w:r>
    </w:p>
    <w:p>
      <w:pPr>
        <w:pStyle w:val="BodyText"/>
      </w:pPr>
      <w:r>
        <w:t xml:space="preserve"> </w:t>
      </w:r>
    </w:p>
    <w:bookmarkEnd w:id="21"/>
    <w:bookmarkStart w:id="22" w:name="conclusion"/>
    <w:p>
      <w:pPr>
        <w:pStyle w:val="Heading4"/>
      </w:pPr>
      <w:r>
        <w:t xml:space="preserve">6. Conclusion</w:t>
      </w:r>
    </w:p>
    <w:p>
      <w:pPr>
        <w:pStyle w:val="FirstParagraph"/>
      </w:pPr>
      <w:r>
        <w:t xml:space="preserve">In conclusion, the field of</w:t>
      </w:r>
      <w:r>
        <w:t xml:space="preserve"> </w:t>
      </w:r>
      <w:r>
        <w:rPr>
          <w:bCs/>
          <w:b/>
        </w:rPr>
        <w:t xml:space="preserve">Robotics Engineering</w:t>
      </w:r>
      <w:r>
        <w:t xml:space="preserve">Germany</w:t>
      </w:r>
    </w:p>
    <w:p>
      <w:pPr>
        <w:pStyle w:val="BodyText"/>
      </w:pPr>
      <w:r>
        <w:t xml:space="preserve"> </w:t>
      </w:r>
    </w:p>
    <w:p>
      <w:pPr>
        <w:pStyle w:val="BodyText"/>
      </w:pPr>
      <w:r>
        <w:t xml:space="preserve">Economic Driver: Enhances efficiency in high-value sectors.</w:t>
      </w:r>
    </w:p>
    <w:p>
      <w:pPr>
        <w:pStyle w:val="BodyText"/>
      </w:pPr>
      <w:r>
        <w:t xml:space="preserve">结论:</w:t>
      </w:r>
    </w:p>
    <w:p>
      <w:pPr>
        <w:pStyle w:val="BodyText"/>
      </w:pPr>
      <w:r>
        <w:t xml:space="preserve">Robotics engineering is not just a technical discipline but a strategic asset for</w:t>
      </w:r>
    </w:p>
    <w:p>
      <w:pPr>
        <w:pStyle w:val="BodyText"/>
      </w:pPr>
      <w:r>
        <w:t xml:space="preserve">Frankfurt</w:t>
      </w:r>
    </w:p>
    <w:p>
      <w:pPr>
        <w:pStyle w:val="BodyText"/>
      </w:pPr>
      <w:r>
        <w:t xml:space="preserve"> </w:t>
      </w:r>
    </w:p>
    <w:p>
      <w:pPr>
        <w:pStyle w:val="BodyText"/>
      </w:pPr>
      <w:r>
        <w:t xml:space="preserve"> </w:t>
      </w:r>
    </w:p>
    <w:bookmarkEnd w:id="22"/>
    <w:bookmarkStart w:id="23" w:name="references"/>
    <w:p>
      <w:pPr>
        <w:pStyle w:val="Heading4"/>
      </w:pPr>
      <w:r>
        <w:t xml:space="preserve">7. References</w:t>
      </w:r>
    </w:p>
    <w:p>
      <w:pPr>
        <w:numPr>
          <w:ilvl w:val="0"/>
          <w:numId w:val="1001"/>
        </w:numPr>
        <w:pStyle w:val="Compact"/>
      </w:pPr>
      <w:r>
        <w:t xml:space="preserve">Berger, P., &amp; Schmidt, L. (2018).</w:t>
      </w:r>
      <w:r>
        <w:t xml:space="preserve"> </w:t>
      </w:r>
      <w:r>
        <w:rPr>
          <w:iCs/>
          <w:i/>
        </w:rPr>
        <w:t xml:space="preserve">The Impact of Automation on European Financial Centers.</w:t>
      </w:r>
      <w:r>
        <w:t xml:space="preserve"> </w:t>
      </w:r>
      <w:r>
        <w:t xml:space="preserve">Journal of Economic Geography, 18(3), 45-67.</w:t>
      </w:r>
    </w:p>
    <w:p>
      <w:pPr>
        <w:numPr>
          <w:ilvl w:val="0"/>
          <w:numId w:val="1001"/>
        </w:numPr>
        <w:pStyle w:val="Compact"/>
      </w:pPr>
      <w:r>
        <w:t xml:space="preserve">Federazione Robotica Italiana. (2020).</w:t>
      </w:r>
      <w:r>
        <w:t xml:space="preserve"> </w:t>
      </w:r>
      <w:r>
        <w:rPr>
          <w:iCs/>
          <w:i/>
        </w:rPr>
        <w:t xml:space="preserve">Rising in Number: Industrial Robots Worldwide</w:t>
      </w:r>
      <w:r>
        <w:t xml:space="preserve">. International Federation of Robotics.</w:t>
      </w:r>
    </w:p>
    <w:p>
      <w:pPr>
        <w:numPr>
          <w:ilvl w:val="0"/>
          <w:numId w:val="1001"/>
        </w:numPr>
        <w:pStyle w:val="Compact"/>
      </w:pPr>
      <w:r>
        <w:t xml:space="preserve">Hoffmann, K. (2019). Industry 4.0 and the Future of Work in Germany. Springer Verlag.</w:t>
      </w:r>
    </w:p>
    <w:p>
      <w:pPr>
        <w:numPr>
          <w:ilvl w:val="0"/>
          <w:numId w:val="1001"/>
        </w:numPr>
        <w:pStyle w:val="Compact"/>
      </w:pPr>
      <w:r>
        <w:t xml:space="preserve">Müller, J., &amp; Weber, A. (2021). Regulatory Frameworks for AI and Robotics in the EU: A Focus on Data Privacy. European Law Review, 46(2), 112-130.</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Germany: A Case Study of Frankfurt am Main</dc:title>
  <dc:creator/>
  <dc:language>en</dc:language>
  <cp:keywords/>
  <dcterms:created xsi:type="dcterms:W3CDTF">2026-07-29T09:27:50Z</dcterms:created>
  <dcterms:modified xsi:type="dcterms:W3CDTF">2026-07-29T09:27:50Z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