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Bilingual</w:t>
      </w:r>
      <w:r>
        <w:t xml:space="preserve"> </w:t>
      </w:r>
      <w:r>
        <w:t xml:space="preserve">Imperative:</w:t>
      </w:r>
      <w:r>
        <w:t xml:space="preserve"> </w:t>
      </w:r>
      <w:r>
        <w:t xml:space="preserve">Strategic</w:t>
      </w:r>
      <w:r>
        <w:t xml:space="preserve"> </w:t>
      </w:r>
      <w:r>
        <w:t xml:space="preserve">Sales</w:t>
      </w:r>
      <w:r>
        <w:t xml:space="preserve"> </w:t>
      </w:r>
      <w:r>
        <w:t xml:space="preserve">Execution</w:t>
      </w:r>
      <w:r>
        <w:t xml:space="preserve"> </w:t>
      </w:r>
      <w:r>
        <w:t xml:space="preserve">in</w:t>
      </w:r>
      <w:r>
        <w:t xml:space="preserve"> </w:t>
      </w:r>
      <w:r>
        <w:t xml:space="preserve">Canada</w:t>
      </w:r>
      <w:r>
        <w:t xml:space="preserve"> </w:t>
      </w:r>
      <w:r>
        <w:t xml:space="preserve">Montreal</w:t>
      </w:r>
    </w:p>
    <w:p>
      <w:pPr>
        <w:pStyle w:val="FirstParagraph"/>
      </w:pPr>
      <w:r>
        <w:t xml:space="preserve">The Bilingual Imperative: Strategic Sales Execution in Canada Montreal</w:t>
      </w:r>
    </w:p>
    <w:p>
      <w:pPr>
        <w:pStyle w:val="BodyText"/>
      </w:pPr>
      <w:r>
        <w:t xml:space="preserve">Journal of International Business and Regional Markets</w:t>
      </w:r>
    </w:p>
    <w:p>
      <w:pPr>
        <w:pStyle w:val="BodyText"/>
      </w:pPr>
      <w:r>
        <w:br/>
      </w:r>
    </w:p>
    <w:p>
      <w:pPr>
        <w:pStyle w:val="BodyText"/>
      </w:pPr>
      <w:r>
        <w:rPr>
          <w:bCs/>
          <w:b/>
        </w:rPr>
        <w:t xml:space="preserve">Alexandre Tremblay, PhD &amp; Sarah Chen, MBA</w:t>
      </w:r>
      <w:r>
        <w:br/>
      </w:r>
      <w:r>
        <w:rPr>
          <w:bCs/>
          <w:b/>
        </w:rPr>
        <w:t xml:space="preserve">Department of Commerce &amp; Strategy</w:t>
      </w:r>
      <w:r>
        <w:br/>
      </w:r>
      <w:r>
        <w:rPr>
          <w:bCs/>
          <w:b/>
        </w:rPr>
        <w:t xml:space="preserve">McGill University / HEC Montréal Consortium</w:t>
      </w:r>
    </w:p>
    <w:p>
      <w:pPr>
        <w:pStyle w:val="BodyText"/>
      </w:pPr>
      <w:r>
        <w:t xml:space="preserve">Abstract</w:t>
      </w:r>
    </w:p>
    <w:p>
      <w:pPr>
        <w:pStyle w:val="BodyText"/>
      </w:pPr>
      <w:r>
        <w:t xml:space="preserve">This article examines the evolving role and competency requirements of the</w:t>
      </w:r>
      <w:r>
        <w:t xml:space="preserve"> </w:t>
      </w:r>
      <w:r>
        <w:rPr>
          <w:bCs/>
          <w:b/>
        </w:rPr>
        <w:t xml:space="preserve">Sales Executive</w:t>
      </w:r>
      <w:r>
        <w:t xml:space="preserve"> </w:t>
      </w:r>
      <w:r>
        <w:t xml:space="preserve">within the unique economic and cultural context of</w:t>
      </w:r>
    </w:p>
    <w:p>
      <w:pPr>
        <w:pStyle w:val="BodyText"/>
      </w:pPr>
      <w:r>
        <w:t xml:space="preserve">Canada Montreal. As a global hub for aerospace, gaming, technology, and finance, Canada Montreal presents distinct challenges compared to other North American markets. This study argues that linguistic duality (French/English) is no longer merely a regulatory requirement but a critical competitive advantage in building trust and closing high-stakes deals. Through an analysis of recent market trends and qualitative interviews with senior sales professionals operating in the Greater Montreal Area, we outline the specific soft skills, cultural intelligence, and strategic frameworks necessary for success. The findings suggest that successful</w:t>
      </w:r>
      <w:r>
        <w:t xml:space="preserve"> </w:t>
      </w:r>
      <w:r>
        <w:rPr>
          <w:bCs/>
          <w:b/>
        </w:rPr>
        <w:t xml:space="preserve">Sales Executives</w:t>
      </w:r>
      <w:r>
        <w:t xml:space="preserve"> </w:t>
      </w:r>
      <w:r>
        <w:t xml:space="preserve">in</w:t>
      </w:r>
    </w:p>
    <w:p>
      <w:pPr>
        <w:pStyle w:val="BodyText"/>
      </w:pPr>
      <w:r>
        <w:t xml:space="preserve">Canada Montreal must adopt a "glocal" approach—leveraging global best practices while deeply respecting local Francophone heritage. This paper contributes to the broader literature on international sales management by highlighting the nuanced interplay between language policy and commercial effectiveness in bilingual metropolitan regions.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Bilingual Imperative: Strategic Sales Execution in Canada Montreal</dc:title>
  <dc:creator/>
  <dc:language>en</dc:language>
  <cp:keywords/>
  <dcterms:created xsi:type="dcterms:W3CDTF">2026-07-29T15:59:43Z</dcterms:created>
  <dcterms:modified xsi:type="dcterms:W3CDTF">2026-07-29T15:59:43Z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