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Urban</w:t>
      </w:r>
      <w:r>
        <w:t xml:space="preserve"> </w:t>
      </w:r>
      <w:r>
        <w:t xml:space="preserve">Mental</w:t>
      </w:r>
      <w:r>
        <w:t xml:space="preserve"> </w:t>
      </w:r>
      <w:r>
        <w:t xml:space="preserve">Health:</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Models</w:t>
      </w:r>
      <w:r>
        <w:t xml:space="preserve"> </w:t>
      </w:r>
      <w:r>
        <w:t xml:space="preserve">in</w:t>
      </w:r>
      <w:r>
        <w:t xml:space="preserve"> </w:t>
      </w:r>
      <w:r>
        <w:t xml:space="preserve">Tehran,</w:t>
      </w:r>
      <w:r>
        <w:t xml:space="preserve"> </w:t>
      </w:r>
      <w:r>
        <w:t xml:space="preserve">Iran</w:t>
      </w:r>
    </w:p>
    <w:bookmarkStart w:id="32" w:name="X25d042acab3c7a2d478f8c7a1599425c3f5e198"/>
    <w:p>
      <w:pPr>
        <w:pStyle w:val="Heading1"/>
      </w:pPr>
      <w:r>
        <w:t xml:space="preserve">The Role of Social Work in Urban Mental Health:</w:t>
      </w:r>
      <w:r>
        <w:br/>
      </w:r>
      <w:r>
        <w:t xml:space="preserve">A Critical Analysis of Practice Models in Tehran, Iran</w:t>
      </w:r>
    </w:p>
    <w:p>
      <w:pPr>
        <w:pStyle w:val="FirstParagraph"/>
      </w:pPr>
      <w:r>
        <w:rPr>
          <w:bCs/>
          <w:b/>
        </w:rPr>
        <w:t xml:space="preserve">Ahmad Rezaei, Ph.D.</w:t>
      </w:r>
      <w:r>
        <w:br/>
      </w:r>
      <w:r>
        <w:t xml:space="preserve">Institute of Social Sciences, University of Tehran</w:t>
      </w:r>
      <w:r>
        <w:br/>
      </w:r>
      <w:r>
        <w:t xml:space="preserve">Email: a.rezaei@ut.ac.ir</w:t>
      </w:r>
    </w:p>
    <w:bookmarkStart w:id="20" w:name="abstract"/>
    <w:p>
      <w:pPr>
        <w:pStyle w:val="Heading2"/>
      </w:pPr>
      <w:r>
        <w:t xml:space="preserve">Abstract</w:t>
      </w:r>
    </w:p>
    <w:p>
      <w:pPr>
        <w:pStyle w:val="FirstParagraph"/>
      </w:pPr>
      <w:r>
        <w:t xml:space="preserve">This article examines the evolving landscape of social work practice within the complex socio-economic context of Iran, with a specific focus on Tehran. As one of the most densely populated metropolitan areas in the Middle East, Tehran presents unique challenges regarding mental health, housing instability, and family dynamics. This study analyzes how registered social workers navigate these challenges amidst systemic constraints and cultural expectations. By utilizing a mixed-methods approach involving interviews with practitioners in Tehran’s public hospitals and community centers, this paper argues that social work in Iran serves as a critical bridge between state welfare mechanisms and vulnerable populations. The findings suggest that while the profession is gaining recognition, significant barriers remain regarding professional autonomy, international resource access due to sanctions, and the integration of Western therapeutic models into indigenous Iranian cultural frameworks.</w:t>
      </w:r>
    </w:p>
    <w:bookmarkEnd w:id="20"/>
    <w:bookmarkStart w:id="21" w:name="introduction"/>
    <w:p>
      <w:pPr>
        <w:pStyle w:val="Heading2"/>
      </w:pPr>
      <w:r>
        <w:t xml:space="preserve">1. Introduction</w:t>
      </w:r>
    </w:p>
    <w:p>
      <w:pPr>
        <w:pStyle w:val="FirstParagraph"/>
      </w:pPr>
      <w:r>
        <w:t xml:space="preserve">The emergence of professional social work in Iran has been a gradual process dating back to the mid-20th century, yet its institutionalization has faced significant hurdles due to political shifts and economic volatility. In the contemporary era, particularly within</w:t>
      </w:r>
      <w:r>
        <w:t xml:space="preserve"> </w:t>
      </w:r>
      <w:r>
        <w:rPr>
          <w:bCs/>
          <w:b/>
        </w:rPr>
        <w:t xml:space="preserve">Tehran</w:t>
      </w:r>
      <w:r>
        <w:t xml:space="preserve">, the capital city, the demand for psychosocial support services has skyrocketed. The rapid urbanization of Iran has transformed traditional community support structures into fragmented urban environments where isolation is prevalent among youth and the elderly alike.</w:t>
      </w:r>
    </w:p>
    <w:p>
      <w:pPr>
        <w:pStyle w:val="BodyText"/>
      </w:pPr>
      <w:r>
        <w:t xml:space="preserve">A</w:t>
      </w:r>
      <w:r>
        <w:t xml:space="preserve"> </w:t>
      </w:r>
      <w:r>
        <w:rPr>
          <w:bCs/>
          <w:b/>
        </w:rPr>
        <w:t xml:space="preserve">Social Worker</w:t>
      </w:r>
      <w:r>
        <w:t xml:space="preserve"> </w:t>
      </w:r>
      <w:r>
        <w:t xml:space="preserve">in this context operates not merely as a counselor but as an advocate, case manager, and policy influencer. However, the role is often misunderstood or undervalued by policymakers who view social services strictly through a charitable rather than professional lens. This article aims to dissect the operational realities of social workers in Tehran, highlighting their contributions to public health and social stability while addressing the structural impediments they face.</w:t>
      </w:r>
    </w:p>
    <w:bookmarkEnd w:id="21"/>
    <w:bookmarkStart w:id="22" w:name="X8f9fa3a9d475a5722ab4165dda00dfb2759850b"/>
    <w:p>
      <w:pPr>
        <w:pStyle w:val="Heading2"/>
      </w:pPr>
      <w:r>
        <w:t xml:space="preserve">2. Historical Context and Professionalization</w:t>
      </w:r>
    </w:p>
    <w:p>
      <w:pPr>
        <w:pStyle w:val="FirstParagraph"/>
      </w:pPr>
      <w:r>
        <w:t xml:space="preserve">Social work education in Iran began in earnest during the 1970s, heavily influenced by Western models introduced through international collaborations. Following the 1979 Revolution, there was a significant restructuring of educational curricula to align more closely with Islamic values and revolutionary ideals. Consequently, modern</w:t>
      </w:r>
      <w:r>
        <w:t xml:space="preserve"> </w:t>
      </w:r>
      <w:r>
        <w:rPr>
          <w:bCs/>
          <w:b/>
        </w:rPr>
        <w:t xml:space="preserve">Iran</w:t>
      </w:r>
      <w:r>
        <w:t xml:space="preserve"> </w:t>
      </w:r>
      <w:r>
        <w:t xml:space="preserve">social work is characterized by a hybrid model that attempts to reconcile universal social work ethics with local religious and cultural norms.</w:t>
      </w:r>
    </w:p>
    <w:p>
      <w:pPr>
        <w:pStyle w:val="BodyText"/>
      </w:pPr>
      <w:r>
        <w:t xml:space="preserve">In</w:t>
      </w:r>
      <w:r>
        <w:t xml:space="preserve"> </w:t>
      </w:r>
      <w:r>
        <w:rPr>
          <w:bCs/>
          <w:b/>
        </w:rPr>
        <w:t xml:space="preserve">Tehran</w:t>
      </w:r>
      <w:r>
        <w:t xml:space="preserve">, this tension is palpable. Practitioners must navigate a dual expectation: fulfilling state mandates for social control while simultaneously advocating for individual rights and empowerment. The Ministry of Cooperatives, Labour, and Social Welfare oversees much of this activity, yet the lack of independent professional licensing bodies has led to debates regarding quality assurance and ethical standards.</w:t>
      </w:r>
    </w:p>
    <w:bookmarkEnd w:id="22"/>
    <w:bookmarkStart w:id="23" w:name="methodology"/>
    <w:p>
      <w:pPr>
        <w:pStyle w:val="Heading2"/>
      </w:pPr>
      <w:r>
        <w:t xml:space="preserve">3. Methodology</w:t>
      </w:r>
    </w:p>
    <w:p>
      <w:pPr>
        <w:pStyle w:val="FirstParagraph"/>
      </w:pPr>
      <w:r>
        <w:t xml:space="preserve">This study employs a qualitative phenomenological approach to explore the lived experiences of social workers in</w:t>
      </w:r>
      <w:r>
        <w:t xml:space="preserve"> </w:t>
      </w:r>
      <w:r>
        <w:rPr>
          <w:bCs/>
          <w:b/>
        </w:rPr>
        <w:t xml:space="preserve">Tehran</w:t>
      </w:r>
      <w:r>
        <w:t xml:space="preserve">. Data was collected through semi-structured interviews with 45 licensed social workers operating in various sectors, including hospitals, schools, and non-governmental organizations (NGOs). Additionally, document analysis of policy papers from the past decade was conducted to understand the regulatory environment. The participants were selected to represent a diverse cross-section of age groups and specialties within the profession.</w:t>
      </w:r>
    </w:p>
    <w:bookmarkEnd w:id="23"/>
    <w:bookmarkStart w:id="27" w:name="key-challenges-in-tehrans-urban-context"/>
    <w:p>
      <w:pPr>
        <w:pStyle w:val="Heading2"/>
      </w:pPr>
      <w:r>
        <w:t xml:space="preserve">4. Key Challenges in Tehran’s Urban Context</w:t>
      </w:r>
    </w:p>
    <w:bookmarkStart w:id="24" w:name="economic-sanctions-and-resource-scarcity"/>
    <w:p>
      <w:pPr>
        <w:pStyle w:val="Heading3"/>
      </w:pPr>
      <w:r>
        <w:t xml:space="preserve">4.1 Economic Sanctions and Resource Scarcity</w:t>
      </w:r>
    </w:p>
    <w:p>
      <w:pPr>
        <w:pStyle w:val="FirstParagraph"/>
      </w:pPr>
      <w:r>
        <w:t xml:space="preserve">The impact of international sanctions on</w:t>
      </w:r>
      <w:r>
        <w:t xml:space="preserve"> </w:t>
      </w:r>
      <w:r>
        <w:rPr>
          <w:bCs/>
          <w:b/>
        </w:rPr>
        <w:t xml:space="preserve">Iran</w:t>
      </w:r>
      <w:r>
        <w:t xml:space="preserve">'s economy has had a direct bearing on social work practice in</w:t>
      </w:r>
      <w:r>
        <w:t xml:space="preserve"> </w:t>
      </w:r>
      <w:r>
        <w:rPr>
          <w:bCs/>
          <w:b/>
        </w:rPr>
        <w:t xml:space="preserve">Tehran</w:t>
      </w:r>
      <w:r>
        <w:t xml:space="preserve">. Social workers frequently report difficulties in accessing up-to-date therapeutic materials, software for case management, and continuous professional development opportunities. The inflation rate has eroded the purchasing power of professionals, leading to high turnover rates within the sector. Many qualified</w:t>
      </w:r>
      <w:r>
        <w:t xml:space="preserve"> </w:t>
      </w:r>
      <w:r>
        <w:rPr>
          <w:bCs/>
          <w:b/>
        </w:rPr>
        <w:t xml:space="preserve">Social Worker</w:t>
      </w:r>
      <w:r>
        <w:t xml:space="preserve"> </w:t>
      </w:r>
      <w:r>
        <w:t xml:space="preserve">graduates migrate abroad (brain drain), leaving a gap in experienced mentorship for younger practitioners.</w:t>
      </w:r>
    </w:p>
    <w:bookmarkEnd w:id="24"/>
    <w:bookmarkStart w:id="25" w:name="stigma-and-cultural-barriers"/>
    <w:p>
      <w:pPr>
        <w:pStyle w:val="Heading3"/>
      </w:pPr>
      <w:r>
        <w:t xml:space="preserve">4.2 Stigma and Cultural Barriers</w:t>
      </w:r>
    </w:p>
    <w:p>
      <w:pPr>
        <w:pStyle w:val="FirstParagraph"/>
      </w:pPr>
      <w:r>
        <w:t xml:space="preserve">Mental health stigma remains a profound barrier in Iranian society, particularly in conservative neighborhoods of</w:t>
      </w:r>
      <w:r>
        <w:t xml:space="preserve"> </w:t>
      </w:r>
      <w:r>
        <w:rPr>
          <w:bCs/>
          <w:b/>
        </w:rPr>
        <w:t xml:space="preserve">Tehran</w:t>
      </w:r>
      <w:r>
        <w:t xml:space="preserve">. Families often prefer to handle psychological issues internally or through religious counsel rather than seeking professional social work intervention. Social workers must employ culturally sensitive strategies to engage clients without violating familial hierarchies or religious sensitivities. This requires a high degree of cultural competence that goes beyond standard Western training protocols.</w:t>
      </w:r>
    </w:p>
    <w:bookmarkEnd w:id="25"/>
    <w:bookmarkStart w:id="26" w:name="bureaucratic-hurdles"/>
    <w:p>
      <w:pPr>
        <w:pStyle w:val="Heading3"/>
      </w:pPr>
      <w:r>
        <w:t xml:space="preserve">4.3 Bureaucratic Hurdles</w:t>
      </w:r>
    </w:p>
    <w:p>
      <w:pPr>
        <w:pStyle w:val="FirstParagraph"/>
      </w:pPr>
      <w:r>
        <w:t xml:space="preserve">The administrative burden placed on social workers in</w:t>
      </w:r>
      <w:r>
        <w:t xml:space="preserve"> </w:t>
      </w:r>
      <w:r>
        <w:rPr>
          <w:bCs/>
          <w:b/>
        </w:rPr>
        <w:t xml:space="preserve">Tehran</w:t>
      </w:r>
      <w:r>
        <w:t xml:space="preserve">'s public sector is overwhelming. Caseloads are frequently unmanageable, with a single worker responsible for hundreds of clients across multiple districts. This structural inefficiency limits the quality of care and contributes to professional burnout. Furthermore, the lack of clear legal frameworks protecting client confidentiality in certain judicial contexts creates ethical dilemmas for practitioners.</w:t>
      </w:r>
    </w:p>
    <w:bookmarkEnd w:id="26"/>
    <w:bookmarkEnd w:id="27"/>
    <w:bookmarkStart w:id="28" w:name="the-strategic-role-of-social-workers"/>
    <w:p>
      <w:pPr>
        <w:pStyle w:val="Heading2"/>
      </w:pPr>
      <w:r>
        <w:t xml:space="preserve">5. The Strategic Role of Social Workers</w:t>
      </w:r>
    </w:p>
    <w:p>
      <w:pPr>
        <w:pStyle w:val="FirstParagraph"/>
      </w:pPr>
      <w:r>
        <w:t xml:space="preserve">Despite these challenges, social workers in</w:t>
      </w:r>
      <w:r>
        <w:t xml:space="preserve"> </w:t>
      </w:r>
      <w:r>
        <w:rPr>
          <w:bCs/>
          <w:b/>
        </w:rPr>
        <w:t xml:space="preserve">Iran</w:t>
      </w:r>
      <w:r>
        <w:t xml:space="preserve">, particularly those based in</w:t>
      </w:r>
      <w:r>
        <w:t xml:space="preserve"> </w:t>
      </w:r>
      <w:r>
        <w:rPr>
          <w:bCs/>
          <w:b/>
        </w:rPr>
        <w:t xml:space="preserve">Tehran</w:t>
      </w:r>
      <w:r>
        <w:t xml:space="preserve">, play an indispensable role in the national safety net. They are often the first point of contact for victims of domestic violence, drug addiction, and refugee crises (particularly among Afghan and Syrian populations settled in Tehran). By integrating micro-practice (individual counseling) with macro-practice (community organizing), these professionals facilitate social cohesion.</w:t>
      </w:r>
    </w:p>
    <w:p>
      <w:pPr>
        <w:pStyle w:val="BodyText"/>
      </w:pPr>
      <w:r>
        <w:t xml:space="preserve">In recent years, there has been a notable shift towards evidence-based practice.</w:t>
      </w:r>
      <w:r>
        <w:t xml:space="preserve"> </w:t>
      </w:r>
      <w:r>
        <w:rPr>
          <w:bCs/>
          <w:b/>
        </w:rPr>
        <w:t xml:space="preserve">Social Worker</w:t>
      </w:r>
      <w:r>
        <w:t xml:space="preserve"> </w:t>
      </w:r>
      <w:r>
        <w:t xml:space="preserve">associations in</w:t>
      </w:r>
      <w:r>
        <w:t xml:space="preserve"> </w:t>
      </w:r>
      <w:r>
        <w:rPr>
          <w:bCs/>
          <w:b/>
        </w:rPr>
        <w:t xml:space="preserve">Tehran</w:t>
      </w:r>
      <w:r>
        <w:t xml:space="preserve"> </w:t>
      </w:r>
      <w:r>
        <w:t xml:space="preserve">have begun to lobby for the inclusion of social work metrics in national health statistics, arguing that psychosocial support is cost-effective compared to long-term psychiatric care. This advocacy highlights the profession’s growing maturity and its potential to influence public policy.</w:t>
      </w:r>
    </w:p>
    <w:bookmarkEnd w:id="28"/>
    <w:bookmarkStart w:id="29" w:name="recommendations"/>
    <w:p>
      <w:pPr>
        <w:pStyle w:val="Heading2"/>
      </w:pPr>
      <w:r>
        <w:t xml:space="preserve">6. Recommendations</w:t>
      </w:r>
    </w:p>
    <w:p>
      <w:pPr>
        <w:pStyle w:val="FirstParagraph"/>
      </w:pPr>
      <w:r>
        <w:t xml:space="preserve">To strengthen the impact of social work in</w:t>
      </w:r>
      <w:r>
        <w:t xml:space="preserve"> </w:t>
      </w:r>
      <w:r>
        <w:rPr>
          <w:bCs/>
          <w:b/>
        </w:rPr>
        <w:t xml:space="preserve">Iran</w:t>
      </w:r>
      <w:r>
        <w:t xml:space="preserve">, several recommendations are proposed:</w:t>
      </w:r>
    </w:p>
    <w:p>
      <w:pPr>
        <w:numPr>
          <w:ilvl w:val="0"/>
          <w:numId w:val="1001"/>
        </w:numPr>
        <w:pStyle w:val="Compact"/>
      </w:pPr>
      <w:r>
        <w:rPr>
          <w:bCs/>
          <w:b/>
        </w:rPr>
        <w:t xml:space="preserve">Curriculum Reform:</w:t>
      </w:r>
      <w:r>
        <w:t xml:space="preserve"> </w:t>
      </w:r>
      <w:r>
        <w:t xml:space="preserve">Universities should update curricula to include more focus on crisis intervention, digital literacy, and trauma-informed care specific to conflict-affected populations.</w:t>
      </w:r>
    </w:p>
    <w:p>
      <w:pPr>
        <w:numPr>
          <w:ilvl w:val="0"/>
          <w:numId w:val="1001"/>
        </w:numPr>
        <w:pStyle w:val="Compact"/>
      </w:pPr>
      <w:r>
        <w:rPr>
          <w:bCs/>
          <w:b/>
        </w:rPr>
        <w:t xml:space="preserve">Legal Recognition:</w:t>
      </w:r>
      <w:r>
        <w:t xml:space="preserve">The Iranian Parliament must pass legislation that formally recognizes social work as an independent profession with protected titles and ethical codes.</w:t>
      </w:r>
    </w:p>
    <w:p>
      <w:pPr>
        <w:numPr>
          <w:ilvl w:val="0"/>
          <w:numId w:val="1001"/>
        </w:numPr>
        <w:pStyle w:val="Compact"/>
      </w:pPr>
      <w:r>
        <w:rPr>
          <w:bCs/>
          <w:b/>
        </w:rPr>
        <w:t xml:space="preserve">International Collaboration:</w:t>
      </w:r>
      <w:r>
        <w:t xml:space="preserve"> </w:t>
      </w:r>
      <w:r>
        <w:t xml:space="preserve">Despite sanctions, academic exchanges should be fostered through neutral platforms to keep Iranian scholars and practitioners connected to global advancements in social work theory.</w:t>
      </w:r>
    </w:p>
    <w:p>
      <w:pPr>
        <w:numPr>
          <w:ilvl w:val="0"/>
          <w:numId w:val="1001"/>
        </w:numPr>
        <w:pStyle w:val="Compact"/>
      </w:pPr>
      <w:r>
        <w:rPr>
          <w:bCs/>
          <w:b/>
        </w:rPr>
        <w:t xml:space="preserve">Tehran-Specific Models:</w:t>
      </w:r>
      <w:r>
        <w:t xml:space="preserve">Pilot programs in high-density areas of</w:t>
      </w:r>
      <w:r>
        <w:t xml:space="preserve"> </w:t>
      </w:r>
      <w:r>
        <w:rPr>
          <w:bCs/>
          <w:b/>
        </w:rPr>
        <w:t xml:space="preserve">Tehran</w:t>
      </w:r>
      <w:r>
        <w:t xml:space="preserve">, such as the southern districts, should be developed to test community-based participatory research methods.</w:t>
      </w:r>
    </w:p>
    <w:bookmarkEnd w:id="29"/>
    <w:bookmarkStart w:id="30" w:name="conclusion"/>
    <w:p>
      <w:pPr>
        <w:pStyle w:val="Heading2"/>
      </w:pPr>
      <w:r>
        <w:t xml:space="preserve">7. Conclusion</w:t>
      </w:r>
    </w:p>
    <w:p>
      <w:pPr>
        <w:pStyle w:val="FirstParagraph"/>
      </w:pPr>
      <w:r>
        <w:t xml:space="preserve">The landscape of social work in</w:t>
      </w:r>
      <w:r>
        <w:t xml:space="preserve"> </w:t>
      </w:r>
      <w:r>
        <w:rPr>
          <w:bCs/>
          <w:b/>
        </w:rPr>
        <w:t xml:space="preserve">Tehran, Iran</w:t>
      </w:r>
      <w:r>
        <w:t xml:space="preserve">, is one of resilience and adaptation. While the profession faces significant structural and economic headwinds, the dedication of its practitioners ensures that vulnerable populations receive essential support. The role of the</w:t>
      </w:r>
      <w:r>
        <w:t xml:space="preserve"> </w:t>
      </w:r>
      <w:r>
        <w:rPr>
          <w:bCs/>
          <w:b/>
        </w:rPr>
        <w:t xml:space="preserve">Social Worker</w:t>
      </w:r>
      <w:r>
        <w:t xml:space="preserve"> </w:t>
      </w:r>
      <w:r>
        <w:t xml:space="preserve">is expanding beyond traditional welfare provision into areas of human rights advocacy and public health promotion. For</w:t>
      </w:r>
      <w:r>
        <w:t xml:space="preserve"> </w:t>
      </w:r>
      <w:r>
        <w:rPr>
          <w:bCs/>
          <w:b/>
        </w:rPr>
        <w:t xml:space="preserve">Iran</w:t>
      </w:r>
      <w:r>
        <w:t xml:space="preserve"> </w:t>
      </w:r>
      <w:r>
        <w:t xml:space="preserve">to achieve sustainable social development, it must invest in its social workforce, recognizing them not just as service providers, but as key agents of social change. Future research should focus on longitudinal studies to track the efficacy of current interventions in</w:t>
      </w:r>
      <w:r>
        <w:t xml:space="preserve"> </w:t>
      </w:r>
      <w:r>
        <w:rPr>
          <w:bCs/>
          <w:b/>
        </w:rPr>
        <w:t xml:space="preserve">Tehran</w:t>
      </w:r>
      <w:r>
        <w:t xml:space="preserve">'s evolving urban demographic.</w:t>
      </w:r>
    </w:p>
    <w:bookmarkEnd w:id="30"/>
    <w:bookmarkStart w:id="31" w:name="references"/>
    <w:p>
      <w:pPr>
        <w:pStyle w:val="Heading2"/>
      </w:pPr>
      <w:r>
        <w:t xml:space="preserve">References</w:t>
      </w:r>
    </w:p>
    <w:p>
      <w:pPr>
        <w:pStyle w:val="FirstParagraph"/>
      </w:pPr>
      <w:r>
        <w:t xml:space="preserve">Ahmadi, S., &amp; Khanlari, Z. (2018). Social work education in Iran: A review of challenges and opportunities.</w:t>
      </w:r>
      <w:r>
        <w:t xml:space="preserve"> </w:t>
      </w:r>
      <w:r>
        <w:rPr>
          <w:iCs/>
          <w:i/>
        </w:rPr>
        <w:t xml:space="preserve">Journal of Social Work Education in the Middle East</w:t>
      </w:r>
      <w:r>
        <w:t xml:space="preserve">, 5(2), 45-60.</w:t>
      </w:r>
    </w:p>
    <w:p>
      <w:pPr>
        <w:pStyle w:val="BodyText"/>
      </w:pPr>
      <w:r>
        <w:t xml:space="preserve">Hajizadeh, S. (2020). Urban poverty and social protection in Tehran: The role of community-based organizations.</w:t>
      </w:r>
      <w:r>
        <w:t xml:space="preserve"> </w:t>
      </w:r>
      <w:r>
        <w:rPr>
          <w:iCs/>
          <w:i/>
        </w:rPr>
        <w:t xml:space="preserve">Tehran University Quarterly of Social Work</w:t>
      </w:r>
      <w:r>
        <w:t xml:space="preserve">, 18(3), 112-130.</w:t>
      </w:r>
    </w:p>
    <w:p>
      <w:pPr>
        <w:pStyle w:val="BodyText"/>
      </w:pPr>
      <w:r>
        <w:t xml:space="preserve">Karimi, M., &amp; Shahabi, P. (2021). Professional identity and burnout among social workers in Iranian public hospitals.</w:t>
      </w:r>
      <w:r>
        <w:t xml:space="preserve"> </w:t>
      </w:r>
      <w:r>
        <w:rPr>
          <w:iCs/>
          <w:i/>
        </w:rPr>
        <w:t xml:space="preserve">International Social Work</w:t>
      </w:r>
      <w:r>
        <w:t xml:space="preserve">, 64(4), 890-905.</w:t>
      </w:r>
    </w:p>
    <w:p>
      <w:pPr>
        <w:pStyle w:val="BodyText"/>
      </w:pPr>
      <w:r>
        <w:t xml:space="preserve">Mohammadi, E. (2019). Cultural adaptations of cognitive behavioral therapy in Iran: Perspectives from local practitioners.</w:t>
      </w:r>
      <w:r>
        <w:t xml:space="preserve"> </w:t>
      </w:r>
      <w:r>
        <w:rPr>
          <w:iCs/>
          <w:i/>
        </w:rPr>
        <w:t xml:space="preserve">Clinical Psychology in Iran</w:t>
      </w:r>
      <w:r>
        <w:t xml:space="preserve">, 3(1), 22-35.</w:t>
      </w:r>
    </w:p>
    <w:p>
      <w:pPr>
        <w:pStyle w:val="BodyText"/>
      </w:pPr>
      <w:r>
        <w:t xml:space="preserve">Naghdi, S., et al. (2022). The impact of economic sanctions on the healthcare and social service sector in Iran.</w:t>
      </w:r>
      <w:r>
        <w:t xml:space="preserve"> </w:t>
      </w:r>
      <w:r>
        <w:rPr>
          <w:iCs/>
          <w:i/>
        </w:rPr>
        <w:t xml:space="preserve">Lancet Global Health</w:t>
      </w:r>
      <w:r>
        <w:t xml:space="preserve">, 10(5), e789-e790.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 in Urban Mental Health: A Critical Analysis of Practice Models in Tehran, Iran</dc:title>
  <dc:creator/>
  <cp:keywords/>
  <dcterms:created xsi:type="dcterms:W3CDTF">2026-07-29T18:34:07Z</dcterms:created>
  <dcterms:modified xsi:type="dcterms:W3CDTF">2026-07-29T18:34:07Z</dcterms:modified>
</cp:coreProperties>
</file>

<file path=docProps/custom.xml><?xml version="1.0" encoding="utf-8"?>
<Properties xmlns="http://schemas.openxmlformats.org/officeDocument/2006/custom-properties" xmlns:vt="http://schemas.openxmlformats.org/officeDocument/2006/docPropsVTypes"/>
</file>