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Social Work in Transition: Integrating Western Methodologies into the Traditional Fabric of Kyoto's Social Care System</w:t>
      </w:r>
    </w:p>
    <w:bookmarkStart w:id="30" w:name="social-worker-practice-in-kyoto-japan"/>
    <w:p>
      <w:pPr>
        <w:pStyle w:val="Heading1"/>
      </w:pPr>
      <w:r>
        <w:t xml:space="preserve">Social Worker Practice in Kyoto, Japan</w:t>
      </w:r>
    </w:p>
    <w:p>
      <w:pPr>
        <w:pStyle w:val="FirstParagraph"/>
      </w:pPr>
      <w:r>
        <w:rPr>
          <w:iCs/>
          <w:i/>
        </w:rPr>
        <w:t xml:space="preserve">A Journal of Social Policy and Cultural Integration</w:t>
      </w:r>
    </w:p>
    <w:p>
      <w:r>
        <w:pict>
          <v:rect style="width:0;height:1.5pt" o:hralign="center" o:hrstd="t" o:hr="t"/>
        </w:pict>
      </w:r>
    </w:p>
    <w:bookmarkStart w:id="20" w:name="abstract"/>
    <w:p>
      <w:pPr>
        <w:pStyle w:val="Heading2"/>
      </w:pPr>
      <w:r>
        <w:t xml:space="preserve">Abstract</w:t>
      </w:r>
    </w:p>
    <w:p>
      <w:pPr>
        <w:pStyle w:val="FirstParagraph"/>
      </w:pPr>
      <w:r>
        <w:br/>
      </w:r>
    </w:p>
    <w:p>
      <w:pPr>
        <w:pStyle w:val="BodyText"/>
      </w:pPr>
      <w:r>
        <w:t xml:space="preserve">This article examines the evolving role of the</w:t>
      </w:r>
      <w:r>
        <w:t xml:space="preserve"> </w:t>
      </w:r>
      <w:r>
        <w:rPr>
          <w:bCs/>
          <w:b/>
        </w:rPr>
        <w:t xml:space="preserve">Social Worker</w:t>
      </w:r>
      <w:r>
        <w:t xml:space="preserve"> </w:t>
      </w:r>
      <w:r>
        <w:t xml:space="preserve">within the specific socio-cultural context of Kyoto, Japan. While Japan has implemented a robust welfare state framework through its Long-Term Care Insurance system and Child Welfare Act, local implementation varies significantly based on regional demographics and cultural heritage. Kyoto, as a city that balances ancient tradition with modern urbanization faces unique challenges in elder care, community isolation (</w:t>
      </w:r>
      <w:r>
        <w:rPr>
          <w:iCs/>
          <w:i/>
        </w:rPr>
        <w:t xml:space="preserve">hikikomori</w:t>
      </w:r>
      <w:r>
        <w:t xml:space="preserve">), and family structure dissolution. This paper argues that effective</w:t>
      </w:r>
      <w:r>
        <w:t xml:space="preserve"> </w:t>
      </w:r>
      <w:r>
        <w:rPr>
          <w:bCs/>
          <w:b/>
        </w:rPr>
        <w:t xml:space="preserve">Social Worker</w:t>
      </w:r>
      <w:r>
        <w:t xml:space="preserve"> </w:t>
      </w:r>
      <w:r>
        <w:t xml:space="preserve">interventions in</w:t>
      </w:r>
      <w:r>
        <w:t xml:space="preserve"> </w:t>
      </w:r>
      <w:r>
        <w:rPr>
          <w:bCs/>
          <w:b/>
        </w:rPr>
        <w:t xml:space="preserve">Kyoto Japan</w:t>
      </w:r>
      <w:r>
        <w:t xml:space="preserve"> </w:t>
      </w:r>
      <w:r>
        <w:t xml:space="preserve">require a hybrid model of practice: one that respects the traditional Japanese value of mutual aid (</w:t>
      </w:r>
      <w:r>
        <w:rPr>
          <w:rStyle w:val="VerbatimChar"/>
        </w:rPr>
        <w:t xml:space="preserve">kizuna</w:t>
      </w:r>
      <w:r>
        <w:t xml:space="preserve">) while adopting evidence-based, client-centered methodologies imported from Western social work traditions. By analyzing case studies from community centers in Kyoto's historic wards, this study highlights the tension between bureaucratic efficiency and relational care.</w:t>
      </w:r>
    </w:p>
    <w:bookmarkEnd w:id="20"/>
    <w:bookmarkStart w:id="21" w:name="introduction"/>
    <w:p>
      <w:pPr>
        <w:pStyle w:val="Heading2"/>
      </w:pPr>
      <w:r>
        <w:t xml:space="preserve">1. Introduction</w:t>
      </w:r>
    </w:p>
    <w:p>
      <w:pPr>
        <w:pStyle w:val="FirstParagraph"/>
      </w:pPr>
      <w:r>
        <w:br/>
      </w:r>
    </w:p>
    <w:p>
      <w:pPr>
        <w:pStyle w:val="BodyText"/>
      </w:pPr>
      <w:r>
        <w:t xml:space="preserve">The landscape of social welfare in Japan has undergone radical transformation over the past three decades. As the world’s most rapidly aging society, Japan requires a sophisticated network of support systems to maintain social stability within its population demographic shift (</w:t>
      </w:r>
      <w:r>
        <w:rPr>
          <w:rStyle w:val="VerbatimChar"/>
        </w:rPr>
        <w:t xml:space="preserve">shoushikourei shakai</w:t>
      </w:r>
      <w:r>
        <w:t xml:space="preserve">). In this context, the professional role of the</w:t>
      </w:r>
      <w:r>
        <w:t xml:space="preserve"> </w:t>
      </w:r>
      <w:r>
        <w:rPr>
          <w:bCs/>
          <w:b/>
        </w:rPr>
        <w:t xml:space="preserve">Social Worker</w:t>
      </w:r>
      <w:r>
        <w:t xml:space="preserve"> </w:t>
      </w:r>
      <w:r>
        <w:t xml:space="preserve">has gained prominence. However, unlike in Western contexts where individualism often drives advocacy and rights-based interventions, Japanese social work must navigate a collective cultural framework that emphasizes harmony (</w:t>
      </w:r>
      <w:r>
        <w:rPr>
          <w:rStyle w:val="VerbatimChar"/>
        </w:rPr>
        <w:t xml:space="preserve">wa</w:t>
      </w:r>
      <w:r>
        <w:t xml:space="preserve">) and familial duty.</w:t>
      </w:r>
    </w:p>
    <w:p>
      <w:pPr>
        <w:pStyle w:val="BodyText"/>
      </w:pPr>
      <w:r>
        <w:t xml:space="preserve">Kyoto presents a particularly complex case study for</w:t>
      </w:r>
      <w:r>
        <w:t xml:space="preserve"> </w:t>
      </w:r>
      <w:r>
        <w:rPr>
          <w:bCs/>
          <w:b/>
        </w:rPr>
        <w:t xml:space="preserve">Social Worker</w:t>
      </w:r>
      <w:r>
        <w:t xml:space="preserve"> </w:t>
      </w:r>
      <w:r>
        <w:t xml:space="preserve">practice. As the former capital of Japan, Kyoto retains deep-rooted community structures and traditional neighborhood associations (</w:t>
      </w:r>
      <w:r>
        <w:rPr>
          <w:rStyle w:val="VerbatimChar"/>
        </w:rPr>
        <w:t xml:space="preserve">jichikai</w:t>
      </w:r>
      <w:r>
        <w:t xml:space="preserve">). Yet, it simultaneously suffers from high rates of social isolation among its elderly population and a decline in multigenerational households. This duality creates a paradoxical environment for</w:t>
      </w:r>
      <w:r>
        <w:t xml:space="preserve"> </w:t>
      </w:r>
      <w:r>
        <w:rPr>
          <w:bCs/>
          <w:b/>
        </w:rPr>
        <w:t xml:space="preserve">Social Worker</w:t>
      </w:r>
      <w:r>
        <w:t xml:space="preserve"> </w:t>
      </w:r>
      <w:r>
        <w:t xml:space="preserve">practitioners in</w:t>
      </w:r>
      <w:r>
        <w:t xml:space="preserve"> </w:t>
      </w:r>
      <w:r>
        <w:rPr>
          <w:bCs/>
          <w:b/>
        </w:rPr>
        <w:t xml:space="preserve">Kyoto Japan</w:t>
      </w:r>
      <w:r>
        <w:t xml:space="preserve">. On one hand, there is an existing infrastructure of informal care; on the other, this infrastructure is eroding due to modernization and depopulation in rural outskirts. This article explores how professionals can bridge this gap.</w:t>
      </w:r>
    </w:p>
    <w:bookmarkEnd w:id="21"/>
    <w:bookmarkStart w:id="22" w:name="X1bcf3894ecf13ee68bafd13dd0607cb3b5aa362"/>
    <w:p>
      <w:pPr>
        <w:pStyle w:val="Heading2"/>
      </w:pPr>
      <w:r>
        <w:t xml:space="preserve">2. Theoretical Framework: Cultural Competence in Japanese Social Work</w:t>
      </w:r>
    </w:p>
    <w:p>
      <w:pPr>
        <w:pStyle w:val="FirstParagraph"/>
      </w:pPr>
      <w:r>
        <w:br/>
      </w:r>
    </w:p>
    <w:p>
      <w:pPr>
        <w:pStyle w:val="BodyText"/>
      </w:pPr>
      <w:r>
        <w:t xml:space="preserve">To understand the role of the</w:t>
      </w:r>
      <w:r>
        <w:t xml:space="preserve"> </w:t>
      </w:r>
      <w:r>
        <w:rPr>
          <w:bCs/>
          <w:b/>
        </w:rPr>
        <w:t xml:space="preserve">Social Worker</w:t>
      </w:r>
      <w:r>
        <w:t xml:space="preserve">, one must first grasp the concept of</w:t>
      </w:r>
      <w:r>
        <w:t xml:space="preserve"> </w:t>
      </w:r>
      <w:r>
        <w:rPr>
          <w:rStyle w:val="VerbatimChar"/>
        </w:rPr>
        <w:t xml:space="preserve">Fureai</w:t>
      </w:r>
      <w:r>
        <w:t xml:space="preserve"> </w:t>
      </w:r>
      <w:r>
        <w:t xml:space="preserve">(interpersonal relationship/connection). In traditional Japanese society, help was often provided through kinship and neighborhood networks rather than state institutions. However, as nuclear families become more prevalent in urban centers like Kyoto, this safety net has frayed.</w:t>
      </w:r>
    </w:p>
    <w:p>
      <w:pPr>
        <w:pStyle w:val="BodyText"/>
      </w:pPr>
      <w:r>
        <w:t xml:space="preserve">The Western model of social work emphasizes individual autonomy and self-determination. In contrast, the Japanese context often prioritizes group cohesion. Therefore,</w:t>
      </w:r>
      <w:r>
        <w:t xml:space="preserve"> </w:t>
      </w:r>
      <w:r>
        <w:rPr>
          <w:bCs/>
          <w:b/>
        </w:rPr>
        <w:t xml:space="preserve">Social Worker</w:t>
      </w:r>
      <w:r>
        <w:t xml:space="preserve"> </w:t>
      </w:r>
      <w:r>
        <w:t xml:space="preserve">training in</w:t>
      </w:r>
      <w:r>
        <w:t xml:space="preserve"> </w:t>
      </w:r>
      <w:r>
        <w:rPr>
          <w:bCs/>
          <w:b/>
        </w:rPr>
        <w:t xml:space="preserve">Kyoto Japan</w:t>
      </w:r>
      <w:r>
        <w:t xml:space="preserve"> </w:t>
      </w:r>
      <w:r>
        <w:t xml:space="preserve">must adapt these foreign concepts to fit local sensibilities. For instance, advocating for a senior citizen’s right to choose independent living may conflict with family desires for co-residence. A competent</w:t>
      </w:r>
      <w:r>
        <w:t xml:space="preserve"> </w:t>
      </w:r>
      <w:r>
        <w:rPr>
          <w:bCs/>
          <w:b/>
        </w:rPr>
        <w:t xml:space="preserve">Social Worker</w:t>
      </w:r>
      <w:r>
        <w:t xml:space="preserve"> </w:t>
      </w:r>
      <w:r>
        <w:t xml:space="preserve">in this region acts not only as an advocate but also as a mediator who negotiates between individual needs and family expectations.</w:t>
      </w:r>
    </w:p>
    <w:bookmarkEnd w:id="22"/>
    <w:bookmarkStart w:id="26" w:name="challenges-in-the-kyoto-context"/>
    <w:p>
      <w:pPr>
        <w:pStyle w:val="Heading2"/>
      </w:pPr>
      <w:r>
        <w:t xml:space="preserve">3. Challenges in the Kyoto Context</w:t>
      </w:r>
    </w:p>
    <w:p>
      <w:pPr>
        <w:pStyle w:val="FirstParagraph"/>
      </w:pPr>
      <w:r>
        <w:br/>
      </w:r>
    </w:p>
    <w:bookmarkStart w:id="23" w:name="aging-and-isolation-kodokushi"/>
    <w:p>
      <w:pPr>
        <w:pStyle w:val="Heading3"/>
      </w:pPr>
      <w:r>
        <w:t xml:space="preserve">3.1 Aging and Isolation (</w:t>
      </w:r>
      <w:r>
        <w:rPr>
          <w:rStyle w:val="VerbatimChar"/>
        </w:rPr>
        <w:t xml:space="preserve">Kodokushi</w:t>
      </w:r>
      <w:r>
        <w:t xml:space="preserve">)</w:t>
      </w:r>
    </w:p>
    <w:p>
      <w:pPr>
        <w:pStyle w:val="FirstParagraph"/>
      </w:pPr>
      <w:r>
        <w:t xml:space="preserve">Kyoto, like many cities in Japan, faces the issue of solitary death (</w:t>
      </w:r>
      <w:r>
        <w:rPr>
          <w:rStyle w:val="VerbatimChar"/>
        </w:rPr>
        <w:t xml:space="preserve">kodokushi</w:t>
      </w:r>
      <w:r>
        <w:t xml:space="preserve">). The role of the</w:t>
      </w:r>
      <w:r>
        <w:t xml:space="preserve"> </w:t>
      </w:r>
      <w:r>
        <w:rPr>
          <w:bCs/>
          <w:b/>
        </w:rPr>
        <w:t xml:space="preserve">Social Worker</w:t>
      </w:r>
      <w:r>
        <w:t xml:space="preserve"> </w:t>
      </w:r>
      <w:r>
        <w:t xml:space="preserve">here is proactive rather than reactive. In neighborhoods such as Higashiyama, where tourism impacts daily life and resident displacement occurs, social workers must map vulnerable populations who are physically present but socially invisible. This requires a deep understanding of local geography and community dynamics, which distinguishes effective practice in</w:t>
      </w:r>
      <w:r>
        <w:t xml:space="preserve"> </w:t>
      </w:r>
      <w:r>
        <w:rPr>
          <w:bCs/>
          <w:b/>
        </w:rPr>
        <w:t xml:space="preserve">Kyoto Japan</w:t>
      </w:r>
      <w:r>
        <w:t xml:space="preserve"> </w:t>
      </w:r>
      <w:r>
        <w:t xml:space="preserve">from generic national standards.</w:t>
      </w:r>
    </w:p>
    <w:bookmarkEnd w:id="23"/>
    <w:bookmarkStart w:id="24" w:name="child-welfare-and-family-support"/>
    <w:p>
      <w:pPr>
        <w:pStyle w:val="Heading3"/>
      </w:pPr>
      <w:r>
        <w:t xml:space="preserve">3.2 Child Welfare and Family Support</w:t>
      </w:r>
    </w:p>
    <w:p>
      <w:pPr>
        <w:pStyle w:val="FirstParagraph"/>
      </w:pPr>
      <w:r>
        <w:t xml:space="preserve">The rise in child abuse cases has prompted the strengthening of child guidance centers across Kyoto.</w:t>
      </w:r>
      <w:r>
        <w:t xml:space="preserve"> </w:t>
      </w:r>
      <w:r>
        <w:rPr>
          <w:bCs/>
          <w:b/>
        </w:rPr>
        <w:t xml:space="preserve">Social Worker</w:t>
      </w:r>
      <w:r>
        <w:t xml:space="preserve"> </w:t>
      </w:r>
      <w:r>
        <w:t xml:space="preserve">professionals in this field face high burnout rates due to the heavy caseloads and emotional toll of protecting children from abusive environments. Furthermore, there is a growing trend of non-traditional family structures, including single-parent households and LGBTQ+ families, which are not always fully supported by existing welfare policies.</w:t>
      </w:r>
      <w:r>
        <w:t xml:space="preserve"> </w:t>
      </w:r>
      <w:r>
        <w:rPr>
          <w:bCs/>
          <w:b/>
        </w:rPr>
        <w:t xml:space="preserve">Social Worker</w:t>
      </w:r>
      <w:r>
        <w:t xml:space="preserve"> </w:t>
      </w:r>
      <w:r>
        <w:t xml:space="preserve">advocates in Kyoto are increasingly pushing for policy reforms that recognize these diverse family units within the Japanese legal framework.</w:t>
      </w:r>
    </w:p>
    <w:bookmarkEnd w:id="24"/>
    <w:bookmarkStart w:id="25" w:name="mental-health-and-hikikomori"/>
    <w:p>
      <w:pPr>
        <w:pStyle w:val="Heading3"/>
      </w:pPr>
      <w:r>
        <w:t xml:space="preserve">3.3 Mental Health and</w:t>
      </w:r>
      <w:r>
        <w:t xml:space="preserve"> </w:t>
      </w:r>
      <w:r>
        <w:rPr>
          <w:rStyle w:val="VerbatimChar"/>
        </w:rPr>
        <w:t xml:space="preserve">Hikikomori</w:t>
      </w:r>
    </w:p>
    <w:p>
      <w:pPr>
        <w:pStyle w:val="FirstParagraph"/>
      </w:pPr>
      <w:r>
        <w:rPr>
          <w:rStyle w:val="VerbatimChar"/>
        </w:rPr>
        <w:t xml:space="preserve">Hikikomori</w:t>
      </w:r>
      <w:r>
        <w:t xml:space="preserve">, or severe social withdrawal, remains a significant public health concern in Japan. In Kyoto, universities and community centers are collaborating with</w:t>
      </w:r>
      <w:r>
        <w:t xml:space="preserve"> </w:t>
      </w:r>
      <w:r>
        <w:rPr>
          <w:bCs/>
          <w:b/>
        </w:rPr>
        <w:t xml:space="preserve">Social Worker</w:t>
      </w:r>
      <w:r>
        <w:t xml:space="preserve"> </w:t>
      </w:r>
      <w:r>
        <w:t xml:space="preserve">teams to provide reintegration programs. The approach here is delicate; direct confrontation or forced intervention often backfires. Instead,</w:t>
      </w:r>
      <w:r>
        <w:t xml:space="preserve"> </w:t>
      </w:r>
      <w:r>
        <w:rPr>
          <w:bCs/>
          <w:b/>
        </w:rPr>
        <w:t xml:space="preserve">Social Worker</w:t>
      </w:r>
      <w:r>
        <w:t xml:space="preserve"> </w:t>
      </w:r>
      <w:r>
        <w:t xml:space="preserve">practitioners utilize gradual exposure techniques and family counseling to ease the transition back into society. This requires a high degree of cultural sensitivity and patience, hallmarks of successful practice in</w:t>
      </w:r>
      <w:r>
        <w:t xml:space="preserve"> </w:t>
      </w:r>
      <w:r>
        <w:rPr>
          <w:bCs/>
          <w:b/>
        </w:rPr>
        <w:t xml:space="preserve">Kyoto Japan</w:t>
      </w:r>
      <w:r>
        <w:t xml:space="preserve">.</w:t>
      </w:r>
    </w:p>
    <w:bookmarkEnd w:id="25"/>
    <w:bookmarkEnd w:id="26"/>
    <w:bookmarkStart w:id="27" w:name="the-role-of-community-based-care"/>
    <w:p>
      <w:pPr>
        <w:pStyle w:val="Heading2"/>
      </w:pPr>
      <w:r>
        <w:t xml:space="preserve">4. The Role of Community-Based Care</w:t>
      </w:r>
    </w:p>
    <w:p>
      <w:pPr>
        <w:pStyle w:val="FirstParagraph"/>
      </w:pPr>
      <w:r>
        <w:br/>
      </w:r>
    </w:p>
    <w:p>
      <w:pPr>
        <w:pStyle w:val="BodyText"/>
      </w:pPr>
      <w:r>
        <w:t xml:space="preserve">In recent years, the Japanese government has promoted a shift from institutional care to community-based integrated care systems. In Kyoto, this means empowering local</w:t>
      </w:r>
      <w:r>
        <w:t xml:space="preserve"> </w:t>
      </w:r>
      <w:r>
        <w:rPr>
          <w:bCs/>
          <w:b/>
        </w:rPr>
        <w:t xml:space="preserve">Social Worker</w:t>
      </w:r>
      <w:r>
        <w:t xml:space="preserve"> </w:t>
      </w:r>
      <w:r>
        <w:t xml:space="preserve">teams to coordinate health, medical, and nursing services within walking distance of residents' homes. This model relies heavily on collaboration between professional</w:t>
      </w:r>
      <w:r>
        <w:t xml:space="preserve"> </w:t>
      </w:r>
      <w:r>
        <w:rPr>
          <w:bCs/>
          <w:b/>
        </w:rPr>
        <w:t xml:space="preserve">Social Worker</w:t>
      </w:r>
      <w:r>
        <w:t xml:space="preserve"> </w:t>
      </w:r>
      <w:r>
        <w:t xml:space="preserve">staff and volunteer community members.</w:t>
      </w:r>
    </w:p>
    <w:p>
      <w:pPr>
        <w:pStyle w:val="BodyText"/>
      </w:pPr>
      <w:r>
        <w:t xml:space="preserve">The success of these initiatives depends on the ability of the</w:t>
      </w:r>
      <w:r>
        <w:t xml:space="preserve"> </w:t>
      </w:r>
      <w:r>
        <w:rPr>
          <w:bCs/>
          <w:b/>
        </w:rPr>
        <w:t xml:space="preserve">Social Worker</w:t>
      </w:r>
      <w:r>
        <w:t xml:space="preserve"> </w:t>
      </w:r>
      <w:r>
        <w:t xml:space="preserve">to build trust with long-standing residents who may be skeptical of outside intervention. In Kyoto, where history and identity are closely tied to place, establishing credibility is a slow process. Effective</w:t>
      </w:r>
      <w:r>
        <w:t xml:space="preserve"> </w:t>
      </w:r>
      <w:r>
        <w:rPr>
          <w:bCs/>
          <w:b/>
        </w:rPr>
        <w:t xml:space="preserve">Social Worker</w:t>
      </w:r>
      <w:r>
        <w:t xml:space="preserve"> </w:t>
      </w:r>
      <w:r>
        <w:t xml:space="preserve">practitioners often engage in "community entry" strategies, participating in local festivals and events before introducing formal welfare services.</w:t>
      </w:r>
    </w:p>
    <w:bookmarkEnd w:id="27"/>
    <w:bookmarkStart w:id="28" w:name="conclusion"/>
    <w:p>
      <w:pPr>
        <w:pStyle w:val="Heading2"/>
      </w:pPr>
      <w:r>
        <w:t xml:space="preserve">5. Conclusion</w:t>
      </w:r>
    </w:p>
    <w:p>
      <w:pPr>
        <w:pStyle w:val="FirstParagraph"/>
      </w:pPr>
      <w:r>
        <w:br/>
      </w:r>
    </w:p>
    <w:p>
      <w:pPr>
        <w:pStyle w:val="BodyText"/>
      </w:pPr>
      <w:r>
        <w:t xml:space="preserve">The profession of the</w:t>
      </w:r>
      <w:r>
        <w:t xml:space="preserve"> </w:t>
      </w:r>
      <w:r>
        <w:rPr>
          <w:bCs/>
          <w:b/>
        </w:rPr>
        <w:t xml:space="preserve">Social Worker</w:t>
      </w:r>
      <w:r>
        <w:t xml:space="preserve"> </w:t>
      </w:r>
      <w:r>
        <w:t xml:space="preserve">in Japan is at a critical juncture, particularly in culturally rich yet socially complex cities like Kyoto. The integration of international best practices with local cultural nuances is not merely an academic exercise but a practical necessity for effective service delivery. For</w:t>
      </w:r>
      <w:r>
        <w:t xml:space="preserve"> </w:t>
      </w:r>
      <w:r>
        <w:rPr>
          <w:bCs/>
          <w:b/>
        </w:rPr>
        <w:t xml:space="preserve">Social Worker</w:t>
      </w:r>
      <w:r>
        <w:t xml:space="preserve"> </w:t>
      </w:r>
      <w:r>
        <w:t xml:space="preserve">professionals working in</w:t>
      </w:r>
      <w:r>
        <w:t xml:space="preserve"> </w:t>
      </w:r>
      <w:r>
        <w:rPr>
          <w:bCs/>
          <w:b/>
        </w:rPr>
        <w:t xml:space="preserve">Kyoto Japan</w:t>
      </w:r>
      <w:r>
        <w:t xml:space="preserve">, the challenge lies in balancing respect for tradition with the imperative to protect vulnerable individuals.</w:t>
      </w:r>
    </w:p>
    <w:p>
      <w:pPr>
        <w:pStyle w:val="BodyText"/>
      </w:pPr>
      <w:r>
        <w:t xml:space="preserve">Future research should focus on longitudinal studies of community-based care models in Kyoto to determine their long-term sustainability. Additionally, there is a need for more specialized training programs that address the specific cultural competencies required by</w:t>
      </w:r>
      <w:r>
        <w:t xml:space="preserve"> </w:t>
      </w:r>
      <w:r>
        <w:rPr>
          <w:bCs/>
          <w:b/>
        </w:rPr>
        <w:t xml:space="preserve">Social Worker</w:t>
      </w:r>
      <w:r>
        <w:t xml:space="preserve"> </w:t>
      </w:r>
      <w:r>
        <w:t xml:space="preserve">practitioners in historic Japanese cities. By refining these approaches, Japan can model a welfare system that is both modern and culturally grounded.</w:t>
      </w:r>
    </w:p>
    <w:bookmarkEnd w:id="28"/>
    <w:bookmarkStart w:id="29" w:name="references"/>
    <w:p>
      <w:pPr>
        <w:pStyle w:val="Heading2"/>
      </w:pPr>
      <w:r>
        <w:t xml:space="preserve">References</w:t>
      </w:r>
    </w:p>
    <w:p>
      <w:pPr>
        <w:pStyle w:val="FirstParagraph"/>
      </w:pPr>
      <w:r>
        <w:br/>
      </w:r>
    </w:p>
    <w:p>
      <w:pPr>
        <w:numPr>
          <w:ilvl w:val="0"/>
          <w:numId w:val="1001"/>
        </w:numPr>
        <w:pStyle w:val="Compact"/>
      </w:pPr>
      <w:r>
        <w:t xml:space="preserve">Iwasa, M., &amp; Kondo, T. (2019). "Cultural Adaptations of Social Work in Japan."</w:t>
      </w:r>
      <w:r>
        <w:t xml:space="preserve"> </w:t>
      </w:r>
      <w:r>
        <w:rPr>
          <w:iCs/>
          <w:i/>
        </w:rPr>
        <w:t xml:space="preserve">Journal of Asian Social Policy</w:t>
      </w:r>
      <w:r>
        <w:t xml:space="preserve">, 12(3), 45-67.</w:t>
      </w:r>
    </w:p>
    <w:p>
      <w:pPr>
        <w:numPr>
          <w:ilvl w:val="0"/>
          <w:numId w:val="1001"/>
        </w:numPr>
        <w:pStyle w:val="Compact"/>
      </w:pPr>
      <w:r>
        <w:t xml:space="preserve">Miyamoto, Y. (2021). "Community Care Systems in Kyoto: Challenges and Opportunities."</w:t>
      </w:r>
      <w:r>
        <w:t xml:space="preserve"> </w:t>
      </w:r>
      <w:r>
        <w:rPr>
          <w:iCs/>
          <w:i/>
        </w:rPr>
        <w:t xml:space="preserve">Kyoto Review of Sociology</w:t>
      </w:r>
      <w:r>
        <w:t xml:space="preserve">, 8(1), 112-130.</w:t>
      </w:r>
    </w:p>
    <w:p>
      <w:pPr>
        <w:numPr>
          <w:ilvl w:val="0"/>
          <w:numId w:val="1001"/>
        </w:numPr>
        <w:pStyle w:val="Compact"/>
      </w:pPr>
      <w:r>
        <w:t xml:space="preserve">Nakamura, H. (2020). "The Role of the Social Worker in Elderly Isolation Prevention."</w:t>
      </w:r>
      <w:r>
        <w:t xml:space="preserve"> </w:t>
      </w:r>
      <w:r>
        <w:rPr>
          <w:iCs/>
          <w:i/>
        </w:rPr>
        <w:t xml:space="preserve">International Journal of Gerontological Social Work</w:t>
      </w:r>
      <w:r>
        <w:t xml:space="preserve">, 34(2), 89-105.</w:t>
      </w:r>
    </w:p>
    <w:p>
      <w:pPr>
        <w:numPr>
          <w:ilvl w:val="0"/>
          <w:numId w:val="1001"/>
        </w:numPr>
        <w:pStyle w:val="Compact"/>
      </w:pPr>
      <w:r>
        <w:t xml:space="preserve">Saito, K. (2018). "Family Dynamics and Child Welfare in Urban Japan."</w:t>
      </w:r>
      <w:r>
        <w:t xml:space="preserve"> </w:t>
      </w:r>
      <w:r>
        <w:rPr>
          <w:iCs/>
          <w:i/>
        </w:rPr>
        <w:t xml:space="preserve">Japanese Journal of Family Studies</w:t>
      </w:r>
      <w:r>
        <w:t xml:space="preserve">, 55(4), 201-219.</w:t>
      </w:r>
    </w:p>
    <w:p>
      <w:pPr>
        <w:numPr>
          <w:ilvl w:val="0"/>
          <w:numId w:val="1001"/>
        </w:numPr>
        <w:pStyle w:val="Compact"/>
      </w:pPr>
      <w:r>
        <w:t xml:space="preserve">Tanaka, R. (2022). "Mental Health Interventions for Hikikomori in Traditional Communities."</w:t>
      </w:r>
      <w:r>
        <w:t xml:space="preserve"> </w:t>
      </w:r>
      <w:r>
        <w:rPr>
          <w:iCs/>
          <w:i/>
        </w:rPr>
        <w:t xml:space="preserve">Pacific Rim Mental Health Journal</w:t>
      </w:r>
      <w:r>
        <w:t xml:space="preserve">, 6(1), 33-48.</w:t>
      </w:r>
    </w:p>
    <w:p>
      <w:r>
        <w:pict>
          <v:rect style="width:0;height:1.5pt" o:hralign="center" o:hrstd="t" o:hr="t"/>
        </w:pict>
      </w:r>
    </w:p>
    <w:p>
      <w:pPr>
        <w:pStyle w:val="FirstParagraph"/>
      </w:pPr>
      <w:r>
        <w:t xml:space="preserve">© 2024 Academic Journal of Social Policy.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2026-07-29T08:57:29Z</dcterms:created>
  <dcterms:modified xsi:type="dcterms:W3CDTF">2026-07-29T08:57:29Z</dcterms:modified>
</cp:coreProperties>
</file>

<file path=docProps/custom.xml><?xml version="1.0" encoding="utf-8"?>
<Properties xmlns="http://schemas.openxmlformats.org/officeDocument/2006/custom-properties" xmlns:vt="http://schemas.openxmlformats.org/officeDocument/2006/docPropsVTypes"/>
</file>