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Kuala</w:t>
      </w:r>
      <w:r>
        <w:t xml:space="preserve"> </w:t>
      </w:r>
      <w:r>
        <w:t xml:space="preserve">Lumpur:</w:t>
      </w:r>
      <w:r>
        <w:t xml:space="preserve"> </w:t>
      </w:r>
      <w:r>
        <w:t xml:space="preserve">Navigating</w:t>
      </w:r>
      <w:r>
        <w:t xml:space="preserve"> </w:t>
      </w:r>
      <w:r>
        <w:t xml:space="preserve">Urban</w:t>
      </w:r>
      <w:r>
        <w:t xml:space="preserve"> </w:t>
      </w:r>
      <w:r>
        <w:t xml:space="preserve">Complexity</w:t>
      </w:r>
    </w:p>
    <w:tbl>
      <w:tblPr>
        <w:tblStyle w:val="Table"/>
        <w:tblW w:type="pct" w:w="5000"/>
        <w:tblLook w:firstRow="0" w:lastRow="0" w:firstColumn="0" w:lastColumn="0" w:noHBand="0" w:noVBand="0" w:val="0000"/>
      </w:tblPr>
      <w:tblGrid>
        <w:gridCol w:w="7920"/>
      </w:tblGrid>
      <w:tr>
        <w:tc>
          <w:tcPr/>
          <w:p>
            <w:pPr>
              <w:pStyle w:val="Compact"/>
              <w:jc w:val="left"/>
            </w:pPr>
            <w:r>
              <w:rPr>
                <w:bCs/>
                <w:b/>
              </w:rPr>
              <w:t xml:space="preserve">VOL. 14, NO. 2</w:t>
            </w:r>
            <w:r>
              <w:br/>
            </w:r>
            <w:r>
              <w:rPr>
                <w:bCs/>
                <w:b/>
              </w:rPr>
              <w:t xml:space="preserve">JULY - DECEMBER 2024</w:t>
            </w:r>
          </w:p>
        </w:tc>
      </w:tr>
    </w:tbl>
    <w:bookmarkStart w:id="20" w:name="Xf0633dc08d315689714229e03ef55ba40c631e6"/>
    <w:p>
      <w:pPr>
        <w:pStyle w:val="Heading1"/>
      </w:pPr>
      <w:r>
        <w:t xml:space="preserve">The Role and Impact of Social Workers in Kuala Lumpur: Navigating Urban Complexity and Social Welfare Reform</w:t>
      </w:r>
    </w:p>
    <w:p>
      <w:pPr>
        <w:pStyle w:val="FirstParagraph"/>
      </w:pPr>
      <w:r>
        <w:rPr>
          <w:bCs/>
          <w:b/>
        </w:rPr>
        <w:t xml:space="preserve">Azlan bin Ismail, PhD &amp; Siti Nurhaliza, MSW</w:t>
      </w:r>
    </w:p>
    <w:p>
      <w:pPr>
        <w:pStyle w:val="BodyText"/>
      </w:pPr>
      <w:r>
        <w:rPr>
          <w:iCs/>
          <w:i/>
        </w:rPr>
        <w:t xml:space="preserve">Institute of Social Policy and Practice, Kuala Lumpur University College</w:t>
      </w:r>
    </w:p>
    <w:bookmarkEnd w:id="20"/>
    <w:bookmarkStart w:id="21" w:name="abstract"/>
    <w:p>
      <w:pPr>
        <w:pStyle w:val="Heading3"/>
      </w:pPr>
      <w:r>
        <w:t xml:space="preserve">Abstract</w:t>
      </w:r>
    </w:p>
    <w:p>
      <w:pPr>
        <w:pStyle w:val="FirstParagraph"/>
      </w:pPr>
      <w:r>
        <w:t xml:space="preserve">This article explores the evolving landscape of professional social work within Malaysia’s federal capital, Kuala Lumpur. As the city faces rapid urbanization, demographic shifts, and socio-economic disparities, the role of the Social Worker has become increasingly critical in maintaining social cohesion. This paper analyzes current frameworks provided by Malaysian agencies such as JKM (Department of Social Welfare) and NGOs operating in Kuala Lumpur. It highlights how trained practitioners navigate complex cultural dynamics to address issues ranging from homelessness among indigenous populations to mental health crises among urban youth.</w:t>
      </w:r>
    </w:p>
    <w:p>
      <w:pPr>
        <w:pStyle w:val="BodyText"/>
      </w:pPr>
      <w:r>
        <w:rPr>
          <w:bCs/>
          <w:b/>
        </w:rPr>
        <w:t xml:space="preserve">Keywords:</w:t>
      </w:r>
      <w:r>
        <w:t xml:space="preserve"> </w:t>
      </w:r>
      <w:r>
        <w:t xml:space="preserve">Academic Journal Article, Social Worker, Malaysia Kuala Lumpur, Urbanization, Social Welfare Policy.</w:t>
      </w:r>
    </w:p>
    <w:bookmarkEnd w:id="21"/>
    <w:p>
      <w:r>
        <w:pict>
          <v:rect style="width:0;height:1.5pt" o:hralign="center" o:hrstd="t" o:hr="t"/>
        </w:pict>
      </w:r>
    </w:p>
    <w:bookmarkStart w:id="22" w:name="i.-introduction"/>
    <w:p>
      <w:pPr>
        <w:pStyle w:val="Heading2"/>
      </w:pPr>
      <w:r>
        <w:t xml:space="preserve">I. Introduction</w:t>
      </w:r>
    </w:p>
    <w:p>
      <w:pPr>
        <w:pStyle w:val="FirstParagraph"/>
      </w:pPr>
      <w:r>
        <w:t xml:space="preserve">In recent decades, the urban landscape of</w:t>
      </w:r>
      <w:r>
        <w:t xml:space="preserve"> </w:t>
      </w:r>
      <w:r>
        <w:rPr>
          <w:bCs/>
          <w:b/>
        </w:rPr>
        <w:t xml:space="preserve">Malaysia Kuala Lumpur</w:t>
      </w:r>
      <w:r>
        <w:t xml:space="preserve"> </w:t>
      </w:r>
      <w:r>
        <w:t xml:space="preserve">has undergone profound transformations. As the economic and political heart of the nation, it serves as a magnet for internal migration from both rural states within Peninsular Malaysia and neighboring countries such as Indonesia and Bangladesh. This influx has created a unique socio-economic tapestry characterized by high economic growth juxtaposed with stark inequalities.</w:t>
      </w:r>
    </w:p>
    <w:p>
      <w:pPr>
        <w:pStyle w:val="BodyText"/>
      </w:pPr>
      <w:r>
        <w:t xml:space="preserve">Amidst these changes, the demand for professional intervention has surged. The</w:t>
      </w:r>
      <w:r>
        <w:t xml:space="preserve"> </w:t>
      </w:r>
      <w:r>
        <w:rPr>
          <w:bCs/>
          <w:b/>
        </w:rPr>
        <w:t xml:space="preserve">Social Worker</w:t>
      </w:r>
      <w:r>
        <w:t xml:space="preserve">, often acting as the bridge between state resources and marginalized communities, plays a pivotal role in this metropolitan context. Unlike rural settings where community ties are organic and strong, urban centers like Kuala Lumpur suffer from atomization and isolation. Therefore, this article examines how social workers adapt traditional methodologies to serve a diverse, transient population within</w:t>
      </w:r>
      <w:r>
        <w:t xml:space="preserve"> </w:t>
      </w:r>
      <w:r>
        <w:rPr>
          <w:bCs/>
          <w:b/>
        </w:rPr>
        <w:t xml:space="preserve">Malaysia Kuala Lumpur</w:t>
      </w:r>
      <w:r>
        <w:t xml:space="preserve">.</w:t>
      </w:r>
    </w:p>
    <w:bookmarkEnd w:id="22"/>
    <w:bookmarkStart w:id="23" w:name="ii.-the-policy-framework-in-malaysia"/>
    <w:p>
      <w:pPr>
        <w:pStyle w:val="Heading2"/>
      </w:pPr>
      <w:r>
        <w:t xml:space="preserve">II. The Policy Framework in Malaysia</w:t>
      </w:r>
    </w:p>
    <w:p>
      <w:pPr>
        <w:pStyle w:val="FirstParagraph"/>
      </w:pPr>
      <w:r>
        <w:t xml:space="preserve">The professional practice of social work in</w:t>
      </w:r>
      <w:r>
        <w:t xml:space="preserve"> </w:t>
      </w:r>
      <w:r>
        <w:rPr>
          <w:bCs/>
          <w:b/>
        </w:rPr>
        <w:t xml:space="preserve">Malaysia Kuala Lumpur</w:t>
      </w:r>
      <w:r>
        <w:t xml:space="preserve">, as elsewhere in the nation, is primarily guided by the Social Welfare Department (Jabatan Kebajikan Masyarakat - JKM). Historically, social assistance was charity-driven; however, recent policy shifts aim to professionalize welfare services. The National Social Work Policy seeks to standardize qualifications and expand the scope of practice.</w:t>
      </w:r>
    </w:p>
    <w:p>
      <w:pPr>
        <w:pStyle w:val="BodyText"/>
      </w:pPr>
      <w:r>
        <w:t xml:space="preserve">For a</w:t>
      </w:r>
      <w:r>
        <w:t xml:space="preserve"> </w:t>
      </w:r>
      <w:r>
        <w:rPr>
          <w:bCs/>
          <w:b/>
        </w:rPr>
        <w:t xml:space="preserve">Social Worker</w:t>
      </w:r>
      <w:r>
        <w:t xml:space="preserve">, this implies a shift from simple casework to systemic advocacy. In the context of</w:t>
      </w:r>
      <w:r>
        <w:t xml:space="preserve"> </w:t>
      </w:r>
      <w:r>
        <w:rPr>
          <w:bCs/>
          <w:b/>
        </w:rPr>
        <w:t xml:space="preserve">Malaysia Kuala Lumpur</w:t>
      </w:r>
      <w:r>
        <w:t xml:space="preserve">, practitioners must navigate bureaucratic hurdles while addressing immediate needs such as housing, food security, and employment for low-income families. The integration of government bodies with non-governmental organizations (NGOs) is essential. For instance, NGOs like the Society for Care and Development (SCAD) often provide specialized services—such as rehabilitation for drug users—that complement the broader safety net provided by state-employed social workers.</w:t>
      </w:r>
    </w:p>
    <w:bookmarkEnd w:id="23"/>
    <w:bookmarkStart w:id="28" w:name="iii.-key-areas-of-intervention"/>
    <w:p>
      <w:pPr>
        <w:pStyle w:val="Heading2"/>
      </w:pPr>
      <w:r>
        <w:t xml:space="preserve">III. Key Areas of Intervention</w:t>
      </w:r>
    </w:p>
    <w:p>
      <w:pPr>
        <w:pStyle w:val="FirstParagraph"/>
      </w:pPr>
      <w:r>
        <w:t xml:space="preserve">The scope of practice for a</w:t>
      </w:r>
      <w:r>
        <w:t xml:space="preserve"> </w:t>
      </w:r>
      <w:r>
        <w:rPr>
          <w:bCs/>
          <w:b/>
        </w:rPr>
        <w:t xml:space="preserve">Social Worker</w:t>
      </w:r>
      <w:r>
        <w:t xml:space="preserve"> </w:t>
      </w:r>
      <w:r>
        <w:t xml:space="preserve">in this urban context is vast. Several key areas demand specific attention due to the unique challenges present in</w:t>
      </w:r>
      <w:r>
        <w:t xml:space="preserve"> </w:t>
      </w:r>
      <w:r>
        <w:rPr>
          <w:bCs/>
          <w:b/>
        </w:rPr>
        <w:t xml:space="preserve">Malaysia Kuala Lumpur</w:t>
      </w:r>
      <w:r>
        <w:t xml:space="preserve">.</w:t>
      </w:r>
    </w:p>
    <w:bookmarkStart w:id="24" w:name="X34e1e311d5f6a1b59d8a2cd5a57cb1dce3ce1b7"/>
    <w:p>
      <w:pPr>
        <w:pStyle w:val="Heading3"/>
      </w:pPr>
      <w:r>
        <w:t xml:space="preserve">A. Mental Health and Psychological Distress</w:t>
      </w:r>
    </w:p>
    <w:p>
      <w:pPr>
        <w:pStyle w:val="FirstParagraph"/>
      </w:pPr>
      <w:r>
        <w:t xml:space="preserve">Mental health remains a significant challenge in dense urban environments. The pressure of living costs, competitive job markets, and social isolation contribute to rising rates of anxiety and depression among residents. Social workers act as first responders in these scenarios, providing counseling services or referring individuals to specialized psychiatric care. In</w:t>
      </w:r>
      <w:r>
        <w:t xml:space="preserve"> </w:t>
      </w:r>
      <w:r>
        <w:rPr>
          <w:bCs/>
          <w:b/>
        </w:rPr>
        <w:t xml:space="preserve">Malaysia Kuala Lumpur</w:t>
      </w:r>
      <w:r>
        <w:t xml:space="preserve">, the stigma associated with mental health is gradually decreasing due to awareness campaigns led by these professionals.</w:t>
      </w:r>
    </w:p>
    <w:bookmarkEnd w:id="24"/>
    <w:bookmarkStart w:id="25" w:name="b.-vulnerable-groups-and-migrant-workers"/>
    <w:p>
      <w:pPr>
        <w:pStyle w:val="Heading3"/>
      </w:pPr>
      <w:r>
        <w:t xml:space="preserve">B. Vulnerable Groups and Migrant Workers</w:t>
      </w:r>
    </w:p>
    <w:p>
      <w:pPr>
        <w:pStyle w:val="FirstParagraph"/>
      </w:pPr>
      <w:r>
        <w:t xml:space="preserve">A significant portion of the workforce in</w:t>
      </w:r>
      <w:r>
        <w:t xml:space="preserve"> </w:t>
      </w:r>
      <w:r>
        <w:rPr>
          <w:bCs/>
          <w:b/>
        </w:rPr>
        <w:t xml:space="preserve">Malaysia Kuala Lumpur</w:t>
      </w:r>
      <w:r>
        <w:t xml:space="preserve"> </w:t>
      </w:r>
      <w:r>
        <w:t xml:space="preserve">consists of foreign laborers. These populations often lack legal protection and access to healthcare. Social workers serve as advocates for these marginalized groups, helping them navigate legal systems and ensuring they are treated with dignity. Additionally, domestic workers who face potential exploitation require urgent intervention through social service centers.</w:t>
      </w:r>
    </w:p>
    <w:bookmarkEnd w:id="25"/>
    <w:bookmarkStart w:id="26" w:name="c.-elderly-care-in-an-aging-society"/>
    <w:p>
      <w:pPr>
        <w:pStyle w:val="Heading3"/>
      </w:pPr>
      <w:r>
        <w:t xml:space="preserve">C. Elderly Care in an Aging Society</w:t>
      </w:r>
    </w:p>
    <w:p>
      <w:pPr>
        <w:pStyle w:val="FirstParagraph"/>
      </w:pPr>
      <w:r>
        <w:t xml:space="preserve">While Malaysia is not yet a fully aged society compared to Japan or Singapore, the demographic shift is evident in urban areas like</w:t>
      </w:r>
      <w:r>
        <w:t xml:space="preserve"> </w:t>
      </w:r>
      <w:r>
        <w:rPr>
          <w:bCs/>
          <w:b/>
        </w:rPr>
        <w:t xml:space="preserve">Malaysia Kuala Lumpur</w:t>
      </w:r>
      <w:r>
        <w:t xml:space="preserve">. The traditional extended family structure is weakening due to nuclear living arrangements and dual-income households. Consequently, there is a growing demand for geriatric care services. Social workers are instrumental in setting up day care centers and ensuring that the elderly have social support systems to prevent loneliness and neglect.</w:t>
      </w:r>
    </w:p>
    <w:bookmarkEnd w:id="26"/>
    <w:bookmarkStart w:id="27" w:name="d.-youth-at-risk"/>
    <w:p>
      <w:pPr>
        <w:pStyle w:val="Heading3"/>
      </w:pPr>
      <w:r>
        <w:t xml:space="preserve">D. Youth at Risk</w:t>
      </w:r>
    </w:p>
    <w:p>
      <w:pPr>
        <w:pStyle w:val="FirstParagraph"/>
      </w:pPr>
      <w:r>
        <w:t xml:space="preserve">The youth demographic in</w:t>
      </w:r>
      <w:r>
        <w:t xml:space="preserve"> </w:t>
      </w:r>
      <w:r>
        <w:rPr>
          <w:bCs/>
          <w:b/>
        </w:rPr>
        <w:t xml:space="preserve">Malaysia Kuala Lumpur</w:t>
      </w:r>
      <w:r>
        <w:t xml:space="preserve"> </w:t>
      </w:r>
      <w:r>
        <w:t xml:space="preserve">is susceptible to peer pressure, substance abuse, and cyberbullying. Social workers engage with schools and community centers to provide preventive counseling and rehabilitation services. By addressing these issues early, they help prevent long-term social pathologies.</w:t>
      </w:r>
    </w:p>
    <w:bookmarkEnd w:id="27"/>
    <w:bookmarkEnd w:id="28"/>
    <w:bookmarkStart w:id="29" w:name="Xe1f6aa42bd6118f0e6ec0d5ef9b6052cd1c34bd"/>
    <w:p>
      <w:pPr>
        <w:pStyle w:val="Heading2"/>
      </w:pPr>
      <w:r>
        <w:t xml:space="preserve">IV. Challenges Facing Social Workers in Urban Settings</w:t>
      </w:r>
    </w:p>
    <w:p>
      <w:pPr>
        <w:pStyle w:val="FirstParagraph"/>
      </w:pPr>
      <w:r>
        <w:t xml:space="preserve">Despite the critical nature of their work,</w:t>
      </w:r>
      <w:r>
        <w:t xml:space="preserve"> </w:t>
      </w:r>
      <w:r>
        <w:rPr>
          <w:bCs/>
          <w:b/>
        </w:rPr>
        <w:t xml:space="preserve">Social Worker</w:t>
      </w:r>
      <w:r>
        <w:t xml:space="preserve">s in</w:t>
      </w:r>
      <w:r>
        <w:t xml:space="preserve"> </w:t>
      </w:r>
      <w:r>
        <w:rPr>
          <w:bCs/>
          <w:b/>
        </w:rPr>
        <w:t xml:space="preserve">Malaysia Kuala Lumpur</w:t>
      </w:r>
      <w:r>
        <w:t xml:space="preserve"> </w:t>
      </w:r>
      <w:r>
        <w:t xml:space="preserve">face several systemic challenges.</w:t>
      </w:r>
    </w:p>
    <w:p>
      <w:pPr>
        <w:numPr>
          <w:ilvl w:val="0"/>
          <w:numId w:val="1001"/>
        </w:numPr>
        <w:pStyle w:val="Compact"/>
      </w:pPr>
      <w:r>
        <w:rPr>
          <w:bCs/>
          <w:b/>
        </w:rPr>
        <w:t xml:space="preserve">Bureaucracy and Red Tape:</w:t>
      </w:r>
      <w:r>
        <w:t xml:space="preserve"> </w:t>
      </w:r>
      <w:r>
        <w:t xml:space="preserve">Navigating government approval processes can be slow, often delaying critical interventions for families in crisis.</w:t>
      </w:r>
    </w:p>
    <w:p>
      <w:pPr>
        <w:numPr>
          <w:ilvl w:val="0"/>
          <w:numId w:val="1001"/>
        </w:numPr>
        <w:pStyle w:val="Compact"/>
      </w:pPr>
      <w:r>
        <w:rPr>
          <w:bCs/>
          <w:b/>
        </w:rPr>
        <w:t xml:space="preserve">Mental Load and Burnout:</w:t>
      </w:r>
      <w:r>
        <w:t xml:space="preserve"> </w:t>
      </w:r>
      <w:r>
        <w:t xml:space="preserve">High caseloads and exposure to trauma can lead to burnout among practitioners. The emotional toll of dealing with poverty and abuse in one of Southeast Asia’s busiest cities is substantial.</w:t>
      </w:r>
    </w:p>
    <w:p>
      <w:pPr>
        <w:numPr>
          <w:ilvl w:val="0"/>
          <w:numId w:val="1001"/>
        </w:numPr>
        <w:pStyle w:val="Compact"/>
      </w:pPr>
      <w:r>
        <w:rPr>
          <w:bCs/>
          <w:b/>
        </w:rPr>
        <w:t xml:space="preserve">Cultural Competence:</w:t>
      </w:r>
      <w:r>
        <w:t xml:space="preserve"> </w:t>
      </w:r>
      <w:r>
        <w:t xml:space="preserve">Serving a multicultural population requires high levels of cultural intelligence. A</w:t>
      </w:r>
      <w:r>
        <w:t xml:space="preserve"> </w:t>
      </w:r>
      <w:r>
        <w:rPr>
          <w:bCs/>
          <w:b/>
        </w:rPr>
        <w:t xml:space="preserve">Social Worker</w:t>
      </w:r>
      <w:r>
        <w:t xml:space="preserve"> </w:t>
      </w:r>
      <w:r>
        <w:t xml:space="preserve">must understand the nuances between Malay, Chinese, Indian, and Indigenous (Orang Asli) communities to provide effective care.</w:t>
      </w:r>
    </w:p>
    <w:p>
      <w:pPr>
        <w:numPr>
          <w:ilvl w:val="0"/>
          <w:numId w:val="1001"/>
        </w:numPr>
        <w:pStyle w:val="Compact"/>
      </w:pPr>
      <w:r>
        <w:rPr>
          <w:bCs/>
          <w:b/>
        </w:rPr>
        <w:t xml:space="preserve">Funding Constraints:</w:t>
      </w:r>
      <w:r>
        <w:t xml:space="preserve"> </w:t>
      </w:r>
      <w:r>
        <w:t xml:space="preserve">Many NGOs operating in</w:t>
      </w:r>
      <w:r>
        <w:t xml:space="preserve"> </w:t>
      </w:r>
      <w:r>
        <w:rPr>
          <w:bCs/>
          <w:b/>
        </w:rPr>
        <w:t xml:space="preserve">Malaysia Kuala Lumpur</w:t>
      </w:r>
      <w:r>
        <w:t xml:space="preserve"> </w:t>
      </w:r>
      <w:r>
        <w:t xml:space="preserve">rely on grants and donations. Financial instability can affect the continuity of services provided to vulnerable groups.</w:t>
      </w:r>
    </w:p>
    <w:bookmarkEnd w:id="29"/>
    <w:bookmarkStart w:id="30" w:name="X0d30da1a1009267261f9972a011f6f0699c7d2b"/>
    <w:p>
      <w:pPr>
        <w:pStyle w:val="Heading2"/>
      </w:pPr>
      <w:r>
        <w:t xml:space="preserve">V. The Path Forward: Recommendations for Academic Journal Article Policy Implementation</w:t>
      </w:r>
    </w:p>
    <w:p>
      <w:pPr>
        <w:pStyle w:val="FirstParagraph"/>
      </w:pPr>
      <w:r>
        <w:t xml:space="preserve">To enhance the efficacy of social work in</w:t>
      </w:r>
      <w:r>
        <w:t xml:space="preserve"> </w:t>
      </w:r>
      <w:r>
        <w:rPr>
          <w:bCs/>
          <w:b/>
        </w:rPr>
        <w:t xml:space="preserve">Malaysia Kuala Lumpur</w:t>
      </w:r>
      <w:r>
        <w:t xml:space="preserve">, several strategic directions are proposed. First, there must be a stronger collaboration between academic institutions and practice settings. Universities should focus their research on localized problems, ensuring that theory informs practice.</w:t>
      </w:r>
    </w:p>
    <w:p>
      <w:pPr>
        <w:pStyle w:val="BodyText"/>
      </w:pPr>
      <w:r>
        <w:t xml:space="preserve">Secondly, the government should increase budget allocation for mental health services and community-based social work programs. Recognizing the</w:t>
      </w:r>
      <w:r>
        <w:t xml:space="preserve"> </w:t>
      </w:r>
      <w:r>
        <w:rPr>
          <w:bCs/>
          <w:b/>
        </w:rPr>
        <w:t xml:space="preserve">Social Worker</w:t>
      </w:r>
      <w:r>
        <w:t xml:space="preserve"> </w:t>
      </w:r>
      <w:r>
        <w:t xml:space="preserve">as a key stakeholder in urban planning is vital to creating inclusive cities. Thirdly, public awareness campaigns are necessary to destigmatize seeking help from social service agencies.</w:t>
      </w:r>
    </w:p>
    <w:bookmarkEnd w:id="30"/>
    <w:bookmarkStart w:id="31" w:name="vi.-conclusion"/>
    <w:p>
      <w:pPr>
        <w:pStyle w:val="Heading2"/>
      </w:pPr>
      <w:r>
        <w:t xml:space="preserve">VI.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Malaysia Kuala Lumpur</w:t>
      </w:r>
      <w:r>
        <w:t xml:space="preserve"> </w:t>
      </w:r>
      <w:r>
        <w:t xml:space="preserve">is indispensable for sustainable urban development. As the city continues to grow and diversify, the need for skilled practitioners who can advocate for equity, justice, and human rights will only increase. By addressing systemic barriers and focusing on holistic well-being, social workers contribute significantly to social stability. This</w:t>
      </w:r>
      <w:r>
        <w:t xml:space="preserve"> </w:t>
      </w:r>
      <w:r>
        <w:rPr>
          <w:bCs/>
          <w:b/>
        </w:rPr>
        <w:t xml:space="preserve">Academic Journal Article</w:t>
      </w:r>
      <w:r>
        <w:t xml:space="preserve"> </w:t>
      </w:r>
      <w:r>
        <w:t xml:space="preserve">serves as a call to action for policymakers, researchers, and practitioners to collaborate in strengthening the social welfare framework within this dynamic metropolitan hub.</w:t>
      </w:r>
    </w:p>
    <w:p>
      <w:r>
        <w:pict>
          <v:rect style="width:0;height:1.5pt" o:hralign="center" o:hrstd="t" o:hr="t"/>
        </w:pict>
      </w:r>
    </w:p>
    <w:bookmarkEnd w:id="31"/>
    <w:bookmarkStart w:id="32" w:name="vii.-references-illustrative"/>
    <w:p>
      <w:pPr>
        <w:pStyle w:val="Heading2"/>
      </w:pPr>
      <w:r>
        <w:t xml:space="preserve">VII. References (Illustrative)</w:t>
      </w:r>
    </w:p>
    <w:p>
      <w:pPr>
        <w:numPr>
          <w:ilvl w:val="0"/>
          <w:numId w:val="1002"/>
        </w:numPr>
        <w:pStyle w:val="Compact"/>
      </w:pPr>
      <w:r>
        <w:t xml:space="preserve">Jabatan Kebajikan Masyarakat Malaysia. (2023).</w:t>
      </w:r>
      <w:r>
        <w:t xml:space="preserve"> </w:t>
      </w:r>
      <w:r>
        <w:rPr>
          <w:iCs/>
          <w:i/>
        </w:rPr>
        <w:t xml:space="preserve">National Social Welfare Statistics Report</w:t>
      </w:r>
      <w:r>
        <w:t xml:space="preserve">. Kuala Lumpur: Ministry of Women, Family and Community Development.</w:t>
      </w:r>
    </w:p>
    <w:p>
      <w:pPr>
        <w:numPr>
          <w:ilvl w:val="0"/>
          <w:numId w:val="1002"/>
        </w:numPr>
        <w:pStyle w:val="Compact"/>
      </w:pPr>
      <w:r>
        <w:t xml:space="preserve">Tan, L. K., &amp; Wong, C. F. (2021). "Urbanization and Mental Health: A Study on the Youth of Kuala Lumpur."</w:t>
      </w:r>
      <w:r>
        <w:t xml:space="preserve"> </w:t>
      </w:r>
      <w:r>
        <w:rPr>
          <w:iCs/>
          <w:i/>
        </w:rPr>
        <w:t xml:space="preserve">Journal of Asian Social Work</w:t>
      </w:r>
      <w:r>
        <w:t xml:space="preserve">, 45(3), 112-130.</w:t>
      </w:r>
    </w:p>
    <w:p>
      <w:pPr>
        <w:numPr>
          <w:ilvl w:val="0"/>
          <w:numId w:val="1002"/>
        </w:numPr>
        <w:pStyle w:val="Compact"/>
      </w:pPr>
      <w:r>
        <w:t xml:space="preserve">Gupta, S. (2022). "Barriers to Care: Foreign Domestic Workers in Malaysia."</w:t>
      </w:r>
      <w:r>
        <w:t xml:space="preserve"> </w:t>
      </w:r>
      <w:r>
        <w:rPr>
          <w:iCs/>
          <w:i/>
        </w:rPr>
        <w:t xml:space="preserve">International Social Work</w:t>
      </w:r>
      <w:r>
        <w:t xml:space="preserve">, 65(2), 45-60.</w:t>
      </w:r>
    </w:p>
    <w:p>
      <w:pPr>
        <w:numPr>
          <w:ilvl w:val="0"/>
          <w:numId w:val="1002"/>
        </w:numPr>
        <w:pStyle w:val="Compact"/>
      </w:pPr>
      <w:r>
        <w:t xml:space="preserve">Ahmad, R. (2019). "Community-Based Geriatric Care Models in Southeast Asia."</w:t>
      </w:r>
      <w:r>
        <w:t xml:space="preserve"> </w:t>
      </w:r>
      <w:r>
        <w:rPr>
          <w:iCs/>
          <w:i/>
        </w:rPr>
        <w:t xml:space="preserve">Social Policy Review</w:t>
      </w:r>
      <w:r>
        <w:t xml:space="preserve">, 12(4), 78-95.</w:t>
      </w:r>
    </w:p>
    <w:p>
      <w:pPr>
        <w:pStyle w:val="FirstParagraph"/>
      </w:pPr>
      <w:r>
        <w:rPr>
          <w:bCs/>
          <w:b/>
        </w:rPr>
        <w:t xml:space="preserve">© 2024 Academic Journal of Urban Social Sciences. All Rights Reserved.</w:t>
      </w:r>
    </w:p>
    <w:p>
      <w:pPr>
        <w:pStyle w:val="BodyText"/>
      </w:pPr>
      <w:r>
        <w:t xml:space="preserve">Published by the Institute for Advanced Studies, Kuala Lumpur, Malaysia.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Kuala Lumpur: Navigating Urban Complexity</dc:title>
  <dc:creator/>
  <dc:language>en</dc:language>
  <cp:keywords/>
  <dcterms:created xsi:type="dcterms:W3CDTF">2026-07-29T10:18:19Z</dcterms:created>
  <dcterms:modified xsi:type="dcterms:W3CDTF">2026-07-29T10:18:19Z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