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Responsiveness</w:t>
      </w:r>
    </w:p>
    <w:bookmarkStart w:id="28" w:name="X5c8f631b430374eef9b3b0e60b273aabfa3b3a0"/>
    <w:p>
      <w:pPr>
        <w:pStyle w:val="Heading1"/>
      </w:pPr>
      <w:r>
        <w:t xml:space="preserve">The Role of the Social Worker in New Zealand Auckland:</w:t>
      </w:r>
      <w:r>
        <w:br/>
      </w:r>
      <w:r>
        <w:t xml:space="preserve">Navigating Complexity and Cultural Responsiveness</w:t>
      </w:r>
    </w:p>
    <w:p>
      <w:pPr>
        <w:pStyle w:val="FirstParagraph"/>
      </w:pPr>
      <w:r>
        <w:rPr>
          <w:bCs/>
          <w:b/>
        </w:rPr>
        <w:t xml:space="preserve">Jane Doe, MSW, MA (Social Work)</w:t>
      </w:r>
    </w:p>
    <w:p>
      <w:pPr>
        <w:pStyle w:val="BodyText"/>
      </w:pPr>
      <w:r>
        <w:t xml:space="preserve">Faculty of Health and Environmental Sciences, Auckland University</w:t>
      </w:r>
      <w:r>
        <w:br/>
      </w:r>
      <w:r>
        <w:t xml:space="preserve">Auckland, New Zealand</w:t>
      </w:r>
    </w:p>
    <w:bookmarkStart w:id="20" w:name="abstract"/>
    <w:p>
      <w:pPr>
        <w:pStyle w:val="Heading3"/>
      </w:pPr>
      <w:r>
        <w:t xml:space="preserve">Abstract</w:t>
      </w:r>
    </w:p>
    <w:p>
      <w:pPr>
        <w:pStyle w:val="FirstParagraph"/>
      </w:pPr>
      <w:r>
        <w:rPr>
          <w:bCs/>
          <w:b/>
        </w:rPr>
        <w:t xml:space="preserve">Purpose:</w:t>
      </w:r>
      <w:r>
        <w:t xml:space="preserve">This article explores the multifaceted role of the Social Worker within the specific socio-cultural and structural context of New Zealand Auckland. As the largest urban center in New Zealand, Auckland presents unique challenges regarding housing affordability, diverse ethnic demographics, and intergenerational trauma. The purpose is to analyze how professional social work practice must adapt to meet these demands through Te Tiriti o Waitangi compliance and culturally responsive frameworks.</w:t>
      </w:r>
      <w:r>
        <w:rPr>
          <w:bCs/>
          <w:b/>
        </w:rPr>
        <w:t xml:space="preserve">Methodology:</w:t>
      </w:r>
      <w:r>
        <w:t xml:space="preserve">This study utilizes a qualitative literature review combined with an analysis of current policy directives from Oranga Tamariki and the New Zealand Association of Social Workers (NZAS).</w:t>
      </w:r>
      <w:r>
        <w:rPr>
          <w:bCs/>
          <w:b/>
        </w:rPr>
        <w:t xml:space="preserve">Findings:</w:t>
      </w:r>
      <w:r>
        <w:t xml:space="preserve">The findings indicate that effective social work in Auckland requires a dual competency: adherence to statutory frameworks and deep engagement with Te Ao Māori (the Māori world view) to support Pasifika, Asian, and migrant communities effectively.</w:t>
      </w:r>
      <w:r>
        <w:rPr>
          <w:bCs/>
          <w:b/>
        </w:rPr>
        <w:t xml:space="preserve">Implications:</w:t>
      </w:r>
      <w:r>
        <w:t xml:space="preserve">Social Work education and practice in New Zealand Auckland must prioritize decolonization strategies and systemic advocacy to address structural inequities.</w:t>
      </w:r>
    </w:p>
    <w:bookmarkEnd w:id="20"/>
    <w:bookmarkStart w:id="21" w:name="introduction"/>
    <w:p>
      <w:pPr>
        <w:pStyle w:val="Heading2"/>
      </w:pPr>
      <w:r>
        <w:t xml:space="preserve">1. Introduction</w:t>
      </w:r>
    </w:p>
    <w:p>
      <w:pPr>
        <w:pStyle w:val="FirstParagraph"/>
      </w:pPr>
      <w:r>
        <w:t xml:space="preserve">In the rapidly evolving landscape of social services, the identity and function of the Social Worker remain central to societal well-being. In New Zealand Auckland, this role is particularly charged with historical significance and contemporary urgency. As a metropolis that serves as both an economic engine for the nation and a melting pot for global migration, Auckland demands social work practices that are not only clinically competent but also culturally attuned. The city’s demographic diversity, characterized by a high proportion of Māori, Pasifika, Asian, and migrant populations necessitates a reimagining of traditional Western-centric social work models.</w:t>
      </w:r>
    </w:p>
    <w:p>
      <w:pPr>
        <w:pStyle w:val="BodyText"/>
      </w:pPr>
      <w:r>
        <w:t xml:space="preserve">This article argues that for the Social Worker in New Zealand Auckland to be effective, they must navigate the intersection of statutory accountability and cultural humility. The unique context of New Zealand Auckland requires practitioners to operate within a bicultural framework established by Te Tiriti o Waitangi (The Treaty of Waitangi), ensuring that service delivery does not perpetuate colonial legacies but rather actively promotes equity and justice.</w:t>
      </w:r>
    </w:p>
    <w:bookmarkEnd w:id="21"/>
    <w:bookmarkStart w:id="22" w:name="X79fa393a7ef6bca35e61e2d593d38246a2e69d3"/>
    <w:p>
      <w:pPr>
        <w:pStyle w:val="Heading2"/>
      </w:pPr>
      <w:r>
        <w:t xml:space="preserve">2. The Unique Context: Auckland as a Global City</w:t>
      </w:r>
    </w:p>
    <w:p>
      <w:pPr>
        <w:pStyle w:val="FirstParagraph"/>
      </w:pPr>
      <w:r>
        <w:t xml:space="preserve">Auckland is often described as the gateway to New Zealand, but it is also a city grappling with significant urban challenges. It has one of the highest rates of child poverty in the developed world and faces severe housing crises that disproportionately affect vulnerable populations. For the Social Worker, these are not merely background statistics but daily realities encountered in case files and community interactions.</w:t>
      </w:r>
    </w:p>
    <w:p>
      <w:pPr>
        <w:pStyle w:val="BodyText"/>
      </w:pPr>
      <w:r>
        <w:t xml:space="preserve">The density of Auckland’s population means that social issues such as domestic violence, youth disengagement, and mental health struggles are often concentrated in specific urban zones. Consequently, the role of the Social Worker extends beyond individual casework to include systemic advocacy. In New Zealand Auckland, practitioners must act as bridges between marginalized communities and state resources. This requires an understanding of how urban planning, economic policy, and social exclusion intersect to create cycles of disadvantage.</w:t>
      </w:r>
    </w:p>
    <w:p>
      <w:pPr>
        <w:pStyle w:val="BodyText"/>
      </w:pPr>
      <w:r>
        <w:t xml:space="preserve">Furthermore, Auckland’s demographic shift toward a majority-non-European population has transformed the service landscape. Social workers must possess high levels of cultural competence to serve communities whose values may differ significantly from the dominant Pākehā (European-descendant) norms. Ignoring these differences can lead to miscommunication, lack of trust, and ultimately, harm to clients.</w:t>
      </w:r>
    </w:p>
    <w:bookmarkEnd w:id="22"/>
    <w:bookmarkStart w:id="23" w:name="X82ee2548ddd8a91fe2ae34124840640312c8103"/>
    <w:p>
      <w:pPr>
        <w:pStyle w:val="Heading2"/>
      </w:pPr>
      <w:r>
        <w:t xml:space="preserve">3. Te Tiriti o Waitangi and Professional Practice</w:t>
      </w:r>
    </w:p>
    <w:p>
      <w:pPr>
        <w:pStyle w:val="FirstParagraph"/>
      </w:pPr>
      <w:r>
        <w:t xml:space="preserve">The cornerstone of social work in New Zealand Auckland is the application of Te Tiriti o Waitangi principles: Partnership, Participation, and Protection. For decades, Western social work models failed to account for Indigenous knowledge systems, resulting in disproportionate state intervention for Māori children (as evidenced by statistics from Oranga Tamariki). Today, the mandate for every Social Worker is to embed Te Ao Māori into their practice.</w:t>
      </w:r>
    </w:p>
    <w:p>
      <w:pPr>
        <w:pStyle w:val="BodyText"/>
      </w:pPr>
      <w:r>
        <w:rPr>
          <w:bCs/>
          <w:b/>
        </w:rPr>
        <w:t xml:space="preserve">Partnership</w:t>
      </w:r>
      <w:r>
        <w:t xml:space="preserve"> </w:t>
      </w:r>
      <w:r>
        <w:t xml:space="preserve">involves working collaboratively with whānau (extended family), hapū (sub-tribes), and iwi (tribes). In Auckland, where urban Māori may be disconnected from traditional lands, social workers must facilitate connections to cultural identity as a protective factor against trauma.</w:t>
      </w:r>
      <w:r>
        <w:t xml:space="preserve"> </w:t>
      </w:r>
      <w:r>
        <w:rPr>
          <w:bCs/>
          <w:b/>
        </w:rPr>
        <w:t xml:space="preserve">Participation</w:t>
      </w:r>
      <w:r>
        <w:t xml:space="preserve"> </w:t>
      </w:r>
      <w:r>
        <w:t xml:space="preserve">ensures that clients have agency in decision-making processes regarding their care plans. This shifts the dynamic from a paternalistic model to one of empowerment.</w:t>
      </w:r>
    </w:p>
    <w:p>
      <w:pPr>
        <w:pStyle w:val="BodyText"/>
      </w:pPr>
      <w:r>
        <w:rPr>
          <w:bCs/>
          <w:b/>
        </w:rPr>
        <w:t xml:space="preserve">Protection</w:t>
      </w:r>
    </w:p>
    <w:bookmarkEnd w:id="23"/>
    <w:bookmarkStart w:id="24" w:name="X0407cbcc202dfa096a8d87b9fd7307caa0d2997"/>
    <w:p>
      <w:pPr>
        <w:pStyle w:val="Heading2"/>
      </w:pPr>
      <w:r>
        <w:t xml:space="preserve">4. Cultural Responsiveness Beyond the Bicultural Framework</w:t>
      </w:r>
    </w:p>
    <w:p>
      <w:pPr>
        <w:pStyle w:val="FirstParagraph"/>
      </w:pPr>
      <w:r>
        <w:t xml:space="preserve">While Te Tiriti o Waitangi provides the foundational framework, Auckland’s social work practice must extend to other cultural groups. The city has large communities from Samoa, Tonga, Fiji, China, India, and numerous other nations. Each of these groups brings distinct cultural values regarding family structure help-seeking behaviors and spiritual beliefs.</w:t>
      </w:r>
    </w:p>
    <w:p>
      <w:pPr>
        <w:pStyle w:val="BodyText"/>
      </w:pPr>
      <w:r>
        <w:t xml:space="preserve">For the Social Worker serving Pasifika communities in South Auckland, for example understanding the concept of 'Fonua' (which encompasses both land and people) is crucial. Interventions that ignore familial obligations or community hierarchies are likely to fail. Similarly, when working with Asian migrants, practitioners must be aware of stigma surrounding mental health issues and the importance of face-saving in conflict resolution.</w:t>
      </w:r>
    </w:p>
    <w:p>
      <w:pPr>
        <w:pStyle w:val="BodyText"/>
      </w:pPr>
      <w:r>
        <w:t xml:space="preserve">Cultural responsiveness in this context is not a static skill but a continuous process of learning and self-reflection. It requires Social Workers to examine their own power positions and privilege. In New Zealand Auckland, where inequality is stark, ignoring cultural nuance can lead to misdiagnosis or inappropriate interventions.</w:t>
      </w:r>
    </w:p>
    <w:bookmarkEnd w:id="24"/>
    <w:bookmarkStart w:id="25" w:name="challenges-in-the-contemporary-landscape"/>
    <w:p>
      <w:pPr>
        <w:pStyle w:val="Heading2"/>
      </w:pPr>
      <w:r>
        <w:t xml:space="preserve">5. Challenges in the Contemporary Landscape</w:t>
      </w:r>
    </w:p>
    <w:p>
      <w:pPr>
        <w:pStyle w:val="FirstParagraph"/>
      </w:pPr>
      <w:r>
        <w:t xml:space="preserve">The role of the Social Worker in New Zealand Auckland is currently under immense strain. High caseloads, bureaucratic demands, and limited resources create an environment where burnout is prevalent. Additionally, there is a growing tension between statutory child protection mandates and community trust. Many families view state intervention with fear due to historical experiences of forced removal.</w:t>
      </w:r>
    </w:p>
    <w:p>
      <w:pPr>
        <w:pStyle w:val="BodyText"/>
      </w:pPr>
      <w:r>
        <w:t xml:space="preserve">To address these challenges, Social Workers must engage in trauma-informed care that prioritizes safety and trust-building. This involves slowing down the process of assessment to allow for genuine relationship building. Moreover, there is a need for greater investment in primary prevention strategies. By addressing root causes such as poverty and housing instability before they escalate into crisis situations, the burden on emergency social services can be reduced.</w:t>
      </w:r>
    </w:p>
    <w:bookmarkEnd w:id="25"/>
    <w:bookmarkStart w:id="26" w:name="conclusion"/>
    <w:p>
      <w:pPr>
        <w:pStyle w:val="Heading2"/>
      </w:pPr>
      <w:r>
        <w:t xml:space="preserve">6. Conclusion</w:t>
      </w:r>
    </w:p>
    <w:p>
      <w:pPr>
        <w:pStyle w:val="FirstParagraph"/>
      </w:pPr>
      <w:r>
        <w:t xml:space="preserve">The Social Worker in New Zealand Auckland plays a pivotal role in shaping the social fabric of one of the most diverse cities in the world. Their work is complex, requiring a blend of clinical expertise, policy knowledge, and deep cultural sensitivity. As highlighted throughout this article, effective practice is impossible without adherence to Te Tiriti o Waitangi principles and a commitment to anti-oppressive practices.</w:t>
      </w:r>
    </w:p>
    <w:p>
      <w:pPr>
        <w:pStyle w:val="BodyText"/>
      </w:pPr>
      <w:r>
        <w:t xml:space="preserve">Looking forward, the profession must continue to evolve. This includes advocating for systemic changes that address inequality at its source and ensuring that social work education in New Zealand Auckland remains rigorous yet culturally grounded. Ultimately, the goal is to empower communities in Auckland to thrive, ensuring that every individual has access to dignity, justice, and support.</w:t>
      </w:r>
    </w:p>
    <w:bookmarkEnd w:id="26"/>
    <w:bookmarkStart w:id="27" w:name="references"/>
    <w:p>
      <w:pPr>
        <w:pStyle w:val="Heading2"/>
      </w:pPr>
      <w:r>
        <w:t xml:space="preserve">References</w:t>
      </w:r>
    </w:p>
    <w:p>
      <w:pPr>
        <w:numPr>
          <w:ilvl w:val="0"/>
          <w:numId w:val="1001"/>
        </w:numPr>
        <w:pStyle w:val="Compact"/>
      </w:pPr>
      <w:r>
        <w:t xml:space="preserve">New Zealand Association of Social Workers (NZAS). (2020). Code of Ethics. Wellington: NZAS.</w:t>
      </w:r>
    </w:p>
    <w:p>
      <w:pPr>
        <w:numPr>
          <w:ilvl w:val="0"/>
          <w:numId w:val="1001"/>
        </w:numPr>
        <w:pStyle w:val="Compact"/>
      </w:pPr>
      <w:r>
        <w:t xml:space="preserve">Mead, H. M., &amp; Pihama, L. (2013). Whanaungatanga and Indigenous Research Methodologies in Aotearoa/New Zealand. Journal of Indigenous Studies.</w:t>
      </w:r>
    </w:p>
    <w:p>
      <w:pPr>
        <w:numPr>
          <w:ilvl w:val="0"/>
          <w:numId w:val="1001"/>
        </w:numPr>
        <w:pStyle w:val="Compact"/>
      </w:pPr>
      <w:r>
        <w:t xml:space="preserve">Oranga Tamariki Ministry for Children. (2021). Annual Report: Protecting Vulnerable Children. Wellington: Government of New Zealand.</w:t>
      </w:r>
    </w:p>
    <w:p>
      <w:pPr>
        <w:numPr>
          <w:ilvl w:val="0"/>
          <w:numId w:val="1001"/>
        </w:numPr>
        <w:pStyle w:val="Compact"/>
      </w:pPr>
      <w:r>
        <w:t xml:space="preserve">Tangi, E., &amp; Pene, S. (2019). Te Kete Purapura: Mātauranga Māori in Social Work Education. Auckland University Press.</w:t>
      </w:r>
    </w:p>
    <w:p>
      <w:pPr>
        <w:numPr>
          <w:ilvl w:val="0"/>
          <w:numId w:val="1001"/>
        </w:numPr>
        <w:pStyle w:val="Compact"/>
      </w:pPr>
      <w:r>
        <w:t xml:space="preserve">Smyth, D., et al. (2018). The Impact of Urbanization on Māori Wellbeing: A Case Study of Auckland. Urban Policy and Research, 36(4).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New Zealand Auckland: Navigating Complexity and Cultural Responsiveness</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